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F1E" w14:textId="67DCA815" w:rsidR="00094C84" w:rsidRDefault="00265C00" w:rsidP="00094C84">
      <w:pPr>
        <w:suppressAutoHyphens/>
        <w:jc w:val="center"/>
        <w:rPr>
          <w:rFonts w:eastAsia="Times New Roman" w:cs="Arial"/>
          <w:b/>
          <w:bCs/>
          <w:kern w:val="1"/>
          <w:sz w:val="28"/>
          <w:lang w:eastAsia="ar-SA"/>
        </w:rPr>
      </w:pPr>
      <w:r w:rsidRPr="00265C00">
        <w:rPr>
          <w:rFonts w:eastAsia="Times New Roman" w:cs="Arial"/>
          <w:b/>
          <w:bCs/>
          <w:kern w:val="1"/>
          <w:sz w:val="28"/>
          <w:lang w:eastAsia="ar-SA"/>
        </w:rPr>
        <w:t xml:space="preserve">Writing Guidelines and Instructions for Submission of Articles in the </w:t>
      </w:r>
      <w:r w:rsidR="00094C84" w:rsidRPr="00094C84">
        <w:rPr>
          <w:rFonts w:eastAsia="Times New Roman" w:cs="Arial"/>
          <w:b/>
          <w:bCs/>
          <w:kern w:val="1"/>
          <w:sz w:val="28"/>
          <w:lang w:eastAsia="ar-SA"/>
        </w:rPr>
        <w:t>Jurnal Geosains dan Remote Sensing (Arial 14pt Bold)</w:t>
      </w:r>
    </w:p>
    <w:p w14:paraId="2152888F" w14:textId="77777777" w:rsidR="00094C84" w:rsidRPr="00094C84" w:rsidRDefault="00094C84" w:rsidP="00094C84">
      <w:pPr>
        <w:rPr>
          <w:rFonts w:eastAsia="Times New Roman" w:cs="Arial"/>
        </w:rPr>
      </w:pPr>
    </w:p>
    <w:p w14:paraId="764D9470" w14:textId="6A3195A4" w:rsidR="00094C84" w:rsidRPr="00094C84" w:rsidRDefault="00265C00" w:rsidP="00094C84">
      <w:pPr>
        <w:jc w:val="center"/>
        <w:rPr>
          <w:rFonts w:eastAsia="Times New Roman" w:cs="Arial"/>
          <w:b/>
        </w:rPr>
      </w:pPr>
      <w:r>
        <w:rPr>
          <w:rFonts w:eastAsia="Times New Roman" w:cs="Arial"/>
          <w:b/>
        </w:rPr>
        <w:t>First Author Name</w:t>
      </w:r>
      <w:r w:rsidR="00B67BFC" w:rsidRPr="00094C84">
        <w:rPr>
          <w:rFonts w:eastAsia="Times New Roman" w:cs="Arial"/>
          <w:b/>
          <w:vertAlign w:val="superscript"/>
        </w:rPr>
        <w:t>1</w:t>
      </w:r>
      <w:r w:rsidR="00094C84" w:rsidRPr="00094C84">
        <w:rPr>
          <w:rFonts w:eastAsia="Times New Roman" w:cs="Arial"/>
          <w:b/>
          <w:vertAlign w:val="superscript"/>
        </w:rPr>
        <w:t>*</w:t>
      </w:r>
      <w:r w:rsidR="00094C84" w:rsidRPr="00094C84">
        <w:rPr>
          <w:rFonts w:eastAsia="Times New Roman" w:cs="Arial"/>
          <w:b/>
        </w:rPr>
        <w:t xml:space="preserve">,  </w:t>
      </w:r>
      <w:r>
        <w:rPr>
          <w:rFonts w:eastAsia="Times New Roman" w:cs="Arial"/>
          <w:b/>
        </w:rPr>
        <w:t>Second</w:t>
      </w:r>
      <w:r w:rsidRPr="00265C00">
        <w:rPr>
          <w:rFonts w:eastAsia="Times New Roman" w:cs="Arial"/>
          <w:b/>
        </w:rPr>
        <w:t xml:space="preserve"> Author Name</w:t>
      </w:r>
      <w:r w:rsidR="00094C84" w:rsidRPr="00094C84">
        <w:rPr>
          <w:rFonts w:eastAsia="Times New Roman" w:cs="Arial"/>
          <w:b/>
          <w:vertAlign w:val="superscript"/>
        </w:rPr>
        <w:t>2</w:t>
      </w:r>
      <w:r w:rsidR="00094C84" w:rsidRPr="00094C84">
        <w:rPr>
          <w:rFonts w:eastAsia="Times New Roman" w:cs="Arial"/>
          <w:b/>
        </w:rPr>
        <w:t xml:space="preserve"> , </w:t>
      </w:r>
      <w:r>
        <w:rPr>
          <w:rFonts w:eastAsia="Times New Roman" w:cs="Arial"/>
          <w:b/>
        </w:rPr>
        <w:t>Third</w:t>
      </w:r>
      <w:r w:rsidRPr="00265C00">
        <w:rPr>
          <w:rFonts w:eastAsia="Times New Roman" w:cs="Arial"/>
          <w:b/>
        </w:rPr>
        <w:t xml:space="preserve"> Author Name</w:t>
      </w:r>
      <w:r w:rsidR="00CB05DE">
        <w:rPr>
          <w:rFonts w:eastAsia="Times New Roman" w:cs="Arial"/>
          <w:b/>
          <w:vertAlign w:val="superscript"/>
        </w:rPr>
        <w:t>1</w:t>
      </w:r>
      <w:r w:rsidR="00094C84" w:rsidRPr="00094C84">
        <w:rPr>
          <w:rFonts w:eastAsia="Times New Roman" w:cs="Arial"/>
          <w:b/>
          <w:vertAlign w:val="superscript"/>
        </w:rPr>
        <w:t>,</w:t>
      </w:r>
      <w:r w:rsidR="00CB05DE">
        <w:rPr>
          <w:rFonts w:eastAsia="Times New Roman" w:cs="Arial"/>
          <w:b/>
          <w:vertAlign w:val="superscript"/>
        </w:rPr>
        <w:t xml:space="preserve"> 2</w:t>
      </w:r>
      <w:r w:rsidR="00CB05DE">
        <w:rPr>
          <w:rFonts w:eastAsia="Times New Roman" w:cs="Arial"/>
          <w:b/>
        </w:rPr>
        <w:t xml:space="preserve"> (10pt</w:t>
      </w:r>
      <w:r w:rsidR="00C1116A">
        <w:rPr>
          <w:rFonts w:eastAsia="Times New Roman" w:cs="Arial"/>
          <w:b/>
        </w:rPr>
        <w:t xml:space="preserve"> bold</w:t>
      </w:r>
      <w:r w:rsidR="00CB05DE">
        <w:rPr>
          <w:rFonts w:eastAsia="Times New Roman" w:cs="Arial"/>
          <w:b/>
        </w:rPr>
        <w:t>)</w:t>
      </w:r>
    </w:p>
    <w:p w14:paraId="19447943" w14:textId="77777777" w:rsidR="00094C84" w:rsidRPr="00094C84" w:rsidRDefault="00094C84" w:rsidP="00094C84">
      <w:pPr>
        <w:jc w:val="center"/>
        <w:rPr>
          <w:rFonts w:eastAsia="Times New Roman" w:cs="Arial"/>
        </w:rPr>
      </w:pPr>
    </w:p>
    <w:p w14:paraId="01392F37" w14:textId="4DED5919" w:rsidR="00B30AB6" w:rsidRDefault="00B67BFC" w:rsidP="00B30AB6">
      <w:pPr>
        <w:jc w:val="center"/>
        <w:rPr>
          <w:rFonts w:eastAsia="Times New Roman" w:cs="Arial"/>
          <w:i/>
          <w:sz w:val="16"/>
        </w:rPr>
      </w:pPr>
      <w:r w:rsidRPr="00C1116A">
        <w:rPr>
          <w:rFonts w:eastAsia="Times New Roman" w:cs="Arial"/>
          <w:b/>
          <w:sz w:val="16"/>
          <w:vertAlign w:val="superscript"/>
        </w:rPr>
        <w:t>1</w:t>
      </w:r>
      <w:r w:rsidR="00B30AB6" w:rsidRPr="00B30AB6">
        <w:rPr>
          <w:rFonts w:eastAsia="Times New Roman" w:cs="Arial"/>
          <w:i/>
          <w:sz w:val="16"/>
        </w:rPr>
        <w:t>Affiliation, address, write down the affiliation and address in full, including country and postal code (8pt italic)</w:t>
      </w:r>
    </w:p>
    <w:p w14:paraId="7EBA0067" w14:textId="52B6F56C" w:rsidR="00094C84" w:rsidRPr="00094C84" w:rsidRDefault="00094C84" w:rsidP="00B30AB6">
      <w:pPr>
        <w:jc w:val="center"/>
        <w:rPr>
          <w:rFonts w:eastAsia="Times New Roman" w:cs="Arial"/>
          <w:i/>
          <w:sz w:val="18"/>
        </w:rPr>
      </w:pPr>
      <w:r w:rsidRPr="00094C84">
        <w:rPr>
          <w:rFonts w:eastAsia="Times New Roman" w:cs="Arial"/>
          <w:i/>
          <w:sz w:val="16"/>
        </w:rPr>
        <w:t xml:space="preserve"> </w:t>
      </w:r>
      <w:r w:rsidRPr="00C1116A">
        <w:rPr>
          <w:rFonts w:eastAsia="Times New Roman" w:cs="Arial"/>
          <w:b/>
          <w:sz w:val="16"/>
          <w:vertAlign w:val="superscript"/>
        </w:rPr>
        <w:t>2</w:t>
      </w:r>
      <w:r w:rsidR="002552F7" w:rsidRPr="002552F7">
        <w:rPr>
          <w:rFonts w:eastAsia="Times New Roman" w:cs="Arial"/>
          <w:i/>
          <w:sz w:val="16"/>
        </w:rPr>
        <w:t>Added according to the number of author affiliations</w:t>
      </w:r>
      <w:r w:rsidRPr="00094C84">
        <w:rPr>
          <w:rFonts w:eastAsia="Times New Roman" w:cs="Arial"/>
          <w:i/>
          <w:sz w:val="18"/>
        </w:rPr>
        <w:tab/>
      </w:r>
    </w:p>
    <w:p w14:paraId="40AE70D2" w14:textId="77777777" w:rsidR="00D77B2C" w:rsidRDefault="00D77B2C" w:rsidP="00817557">
      <w:pPr>
        <w:rPr>
          <w:rFonts w:eastAsia="Times New Roman" w:cs="Arial"/>
        </w:rPr>
      </w:pPr>
    </w:p>
    <w:tbl>
      <w:tblPr>
        <w:tblW w:w="0" w:type="auto"/>
        <w:tblLook w:val="04A0" w:firstRow="1" w:lastRow="0" w:firstColumn="1" w:lastColumn="0" w:noHBand="0" w:noVBand="1"/>
      </w:tblPr>
      <w:tblGrid>
        <w:gridCol w:w="2127"/>
        <w:gridCol w:w="7195"/>
      </w:tblGrid>
      <w:tr w:rsidR="007C1A67" w:rsidRPr="00ED1FF2" w14:paraId="3665EE5B" w14:textId="77777777" w:rsidTr="002B7B96">
        <w:trPr>
          <w:trHeight w:val="57"/>
        </w:trPr>
        <w:tc>
          <w:tcPr>
            <w:tcW w:w="2127" w:type="dxa"/>
            <w:tcBorders>
              <w:top w:val="single" w:sz="6" w:space="0" w:color="auto"/>
            </w:tcBorders>
            <w:shd w:val="clear" w:color="auto" w:fill="FFFFFF"/>
          </w:tcPr>
          <w:p w14:paraId="2E3D11D6" w14:textId="77777777" w:rsidR="00AD56E7" w:rsidRPr="002D20D2" w:rsidRDefault="00AD56E7" w:rsidP="00094C84">
            <w:pPr>
              <w:rPr>
                <w:rFonts w:eastAsia="Times New Roman" w:cs="Arial"/>
                <w:b/>
                <w:sz w:val="16"/>
                <w:szCs w:val="18"/>
              </w:rPr>
            </w:pPr>
          </w:p>
        </w:tc>
        <w:tc>
          <w:tcPr>
            <w:tcW w:w="7195" w:type="dxa"/>
            <w:tcBorders>
              <w:top w:val="single" w:sz="4" w:space="0" w:color="auto"/>
            </w:tcBorders>
            <w:shd w:val="clear" w:color="auto" w:fill="auto"/>
          </w:tcPr>
          <w:p w14:paraId="77E20EFD" w14:textId="77777777" w:rsidR="00AD56E7" w:rsidRPr="00ED1FF2" w:rsidRDefault="00AD56E7" w:rsidP="00ED1FF2">
            <w:pPr>
              <w:jc w:val="both"/>
              <w:rPr>
                <w:rFonts w:eastAsia="Times New Roman" w:cs="Arial"/>
                <w:b/>
                <w:sz w:val="16"/>
              </w:rPr>
            </w:pPr>
          </w:p>
        </w:tc>
      </w:tr>
      <w:tr w:rsidR="004656FF" w:rsidRPr="00ED1FF2" w14:paraId="36552D35" w14:textId="77777777" w:rsidTr="001839B8">
        <w:trPr>
          <w:trHeight w:val="2878"/>
        </w:trPr>
        <w:tc>
          <w:tcPr>
            <w:tcW w:w="2127" w:type="dxa"/>
            <w:shd w:val="clear" w:color="auto" w:fill="D9D9D9"/>
          </w:tcPr>
          <w:p w14:paraId="7F75E901" w14:textId="71861CE3" w:rsidR="00F2331D" w:rsidRPr="00590F22" w:rsidRDefault="0090310F" w:rsidP="00FE0219">
            <w:pPr>
              <w:spacing w:before="160"/>
              <w:rPr>
                <w:rFonts w:eastAsia="Times New Roman" w:cs="Arial"/>
                <w:b/>
                <w:i/>
                <w:sz w:val="16"/>
              </w:rPr>
            </w:pPr>
            <w:r w:rsidRPr="0090310F">
              <w:rPr>
                <w:rFonts w:eastAsia="Times New Roman" w:cs="Arial"/>
                <w:b/>
                <w:i/>
                <w:sz w:val="16"/>
              </w:rPr>
              <w:t>Received</w:t>
            </w:r>
            <w:r w:rsidR="00F2331D" w:rsidRPr="00590F22">
              <w:rPr>
                <w:rFonts w:eastAsia="Times New Roman" w:cs="Arial"/>
                <w:b/>
                <w:i/>
                <w:sz w:val="16"/>
              </w:rPr>
              <w:t xml:space="preserve">: </w:t>
            </w:r>
          </w:p>
          <w:p w14:paraId="6978C44C" w14:textId="77777777" w:rsidR="00F2331D" w:rsidRDefault="00F2331D" w:rsidP="00F2331D">
            <w:pPr>
              <w:rPr>
                <w:rFonts w:eastAsia="Times New Roman" w:cs="Arial"/>
                <w:i/>
                <w:sz w:val="16"/>
              </w:rPr>
            </w:pPr>
          </w:p>
          <w:p w14:paraId="590F780A" w14:textId="77777777" w:rsidR="00F2331D" w:rsidRDefault="00F2331D" w:rsidP="00F2331D">
            <w:pPr>
              <w:rPr>
                <w:rFonts w:eastAsia="Times New Roman" w:cs="Arial"/>
                <w:b/>
                <w:i/>
                <w:sz w:val="16"/>
              </w:rPr>
            </w:pPr>
          </w:p>
          <w:p w14:paraId="417D0F12" w14:textId="611D04FD" w:rsidR="00F2331D" w:rsidRPr="00590F22" w:rsidRDefault="009177D9" w:rsidP="00F2331D">
            <w:pPr>
              <w:rPr>
                <w:rFonts w:eastAsia="Times New Roman" w:cs="Arial"/>
                <w:b/>
                <w:i/>
                <w:sz w:val="16"/>
              </w:rPr>
            </w:pPr>
            <w:r w:rsidRPr="009177D9">
              <w:rPr>
                <w:rFonts w:eastAsia="Times New Roman" w:cs="Arial"/>
                <w:b/>
                <w:i/>
                <w:sz w:val="16"/>
              </w:rPr>
              <w:t>Revised</w:t>
            </w:r>
            <w:r w:rsidR="00F2331D" w:rsidRPr="00590F22">
              <w:rPr>
                <w:rFonts w:eastAsia="Times New Roman" w:cs="Arial"/>
                <w:b/>
                <w:i/>
                <w:sz w:val="16"/>
              </w:rPr>
              <w:t xml:space="preserve">: </w:t>
            </w:r>
          </w:p>
          <w:p w14:paraId="75B7ED8B" w14:textId="77777777" w:rsidR="00F2331D" w:rsidRPr="00590F22" w:rsidRDefault="00F2331D" w:rsidP="00F2331D">
            <w:pPr>
              <w:rPr>
                <w:rFonts w:eastAsia="Times New Roman" w:cs="Arial"/>
                <w:i/>
                <w:sz w:val="16"/>
              </w:rPr>
            </w:pPr>
          </w:p>
          <w:p w14:paraId="2C20DCB1" w14:textId="77777777" w:rsidR="00F2331D" w:rsidRDefault="00F2331D" w:rsidP="00F2331D">
            <w:pPr>
              <w:rPr>
                <w:rFonts w:eastAsia="Times New Roman" w:cs="Arial"/>
                <w:b/>
                <w:i/>
                <w:sz w:val="16"/>
              </w:rPr>
            </w:pPr>
          </w:p>
          <w:p w14:paraId="03BF3B0F" w14:textId="2795F684" w:rsidR="00F2331D" w:rsidRPr="00590F22" w:rsidRDefault="009177D9" w:rsidP="00F2331D">
            <w:pPr>
              <w:rPr>
                <w:rFonts w:eastAsia="Times New Roman" w:cs="Arial"/>
                <w:b/>
                <w:i/>
                <w:sz w:val="16"/>
              </w:rPr>
            </w:pPr>
            <w:r w:rsidRPr="009177D9">
              <w:rPr>
                <w:rFonts w:eastAsia="Times New Roman" w:cs="Arial"/>
                <w:b/>
                <w:i/>
                <w:sz w:val="16"/>
              </w:rPr>
              <w:t>Accepted</w:t>
            </w:r>
            <w:r w:rsidR="00F2331D" w:rsidRPr="00590F22">
              <w:rPr>
                <w:rFonts w:eastAsia="Times New Roman" w:cs="Arial"/>
                <w:b/>
                <w:i/>
                <w:sz w:val="16"/>
              </w:rPr>
              <w:t>:</w:t>
            </w:r>
          </w:p>
          <w:p w14:paraId="5A49703C" w14:textId="77777777" w:rsidR="00F2331D" w:rsidRPr="00590F22" w:rsidRDefault="00F2331D" w:rsidP="00F2331D">
            <w:pPr>
              <w:rPr>
                <w:rFonts w:eastAsia="Times New Roman" w:cs="Arial"/>
                <w:i/>
                <w:sz w:val="16"/>
              </w:rPr>
            </w:pPr>
          </w:p>
          <w:p w14:paraId="366423F5" w14:textId="77777777" w:rsidR="00F2331D" w:rsidRDefault="00F2331D" w:rsidP="00F2331D">
            <w:pPr>
              <w:rPr>
                <w:rFonts w:eastAsia="Times New Roman" w:cs="Arial"/>
                <w:i/>
              </w:rPr>
            </w:pPr>
          </w:p>
          <w:p w14:paraId="1797948C" w14:textId="15BF5329" w:rsidR="004656FF" w:rsidRPr="00590F22" w:rsidRDefault="002161EB" w:rsidP="007C1A67">
            <w:pPr>
              <w:rPr>
                <w:rFonts w:eastAsia="Times New Roman" w:cs="Arial"/>
                <w:b/>
                <w:i/>
                <w:sz w:val="16"/>
              </w:rPr>
            </w:pPr>
            <w:r>
              <w:rPr>
                <w:rFonts w:eastAsia="Times New Roman" w:cs="Arial"/>
                <w:b/>
                <w:i/>
                <w:sz w:val="16"/>
              </w:rPr>
              <w:t>*</w:t>
            </w:r>
            <w:r w:rsidR="002B7B96" w:rsidRPr="002B7B96">
              <w:rPr>
                <w:rFonts w:eastAsia="Times New Roman" w:cs="Arial"/>
                <w:b/>
                <w:i/>
                <w:sz w:val="16"/>
              </w:rPr>
              <w:t xml:space="preserve">Correspondent </w:t>
            </w:r>
            <w:r w:rsidR="00960EC5">
              <w:rPr>
                <w:rFonts w:eastAsia="Times New Roman" w:cs="Arial"/>
                <w:b/>
                <w:i/>
                <w:sz w:val="16"/>
              </w:rPr>
              <w:t>E</w:t>
            </w:r>
            <w:r w:rsidR="002B7B96" w:rsidRPr="002B7B96">
              <w:rPr>
                <w:rFonts w:eastAsia="Times New Roman" w:cs="Arial"/>
                <w:b/>
                <w:i/>
                <w:sz w:val="16"/>
              </w:rPr>
              <w:t>mail</w:t>
            </w:r>
            <w:r w:rsidR="004656FF" w:rsidRPr="00590F22">
              <w:rPr>
                <w:rFonts w:eastAsia="Times New Roman" w:cs="Arial"/>
                <w:b/>
                <w:i/>
                <w:sz w:val="16"/>
              </w:rPr>
              <w:t>:</w:t>
            </w:r>
          </w:p>
          <w:p w14:paraId="2D2A85E5" w14:textId="68815275" w:rsidR="004656FF" w:rsidRDefault="002E60DC" w:rsidP="007C1A67">
            <w:pPr>
              <w:rPr>
                <w:rFonts w:eastAsia="Times New Roman" w:cs="Arial"/>
                <w:iCs/>
                <w:sz w:val="16"/>
              </w:rPr>
            </w:pPr>
            <w:hyperlink r:id="rId7" w:history="1">
              <w:r w:rsidRPr="00755FE9">
                <w:rPr>
                  <w:rStyle w:val="Hyperlink"/>
                  <w:rFonts w:eastAsia="Times New Roman" w:cs="Arial"/>
                  <w:iCs/>
                  <w:sz w:val="16"/>
                </w:rPr>
                <w:t>author@email.id</w:t>
              </w:r>
            </w:hyperlink>
            <w:r>
              <w:rPr>
                <w:rFonts w:eastAsia="Times New Roman" w:cs="Arial"/>
                <w:iCs/>
                <w:sz w:val="16"/>
              </w:rPr>
              <w:t xml:space="preserve"> </w:t>
            </w:r>
          </w:p>
          <w:p w14:paraId="535F5D29" w14:textId="77777777" w:rsidR="00873EDB" w:rsidRPr="00A170E5" w:rsidRDefault="00873EDB" w:rsidP="007C1A67">
            <w:pPr>
              <w:rPr>
                <w:rFonts w:eastAsia="Times New Roman" w:cs="Arial"/>
                <w:iCs/>
                <w:szCs w:val="28"/>
              </w:rPr>
            </w:pPr>
          </w:p>
          <w:p w14:paraId="0C85C5DD" w14:textId="53A11438" w:rsidR="00873EDB" w:rsidRPr="00873EDB" w:rsidRDefault="00F2331D" w:rsidP="003D4221">
            <w:pPr>
              <w:rPr>
                <w:rFonts w:eastAsia="Times New Roman" w:cs="Arial"/>
                <w:iCs/>
              </w:rPr>
            </w:pP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rsidR="007218E6">
              <w:fldChar w:fldCharType="begin"/>
            </w:r>
            <w:r w:rsidR="007218E6">
              <w:instrText xml:space="preserve"> INCLUDEPICTURE  "https://upload.wikimedia.org/wikipedia/commons/thumb/7/77/Open_Access_logo_PLoS_transparent.svg/142px-Open_Access_logo_PLoS_transparent.svg.png" \* MERGEFORMATINET </w:instrText>
            </w:r>
            <w:r w:rsidR="007218E6">
              <w:fldChar w:fldCharType="separate"/>
            </w:r>
            <w:r w:rsidR="001D5395">
              <w:fldChar w:fldCharType="begin"/>
            </w:r>
            <w:r w:rsidR="001D5395">
              <w:instrText xml:space="preserve"> INCLUDEPICTURE  "https://upload.wikimedia.org/wikipedia/commons/thumb/7/77/Open_Access_logo_PLoS_transparent.svg/142px-Open_Access_logo_PLoS_transparent.svg.png" \* MERGEFORMATINET </w:instrText>
            </w:r>
            <w:r w:rsidR="001D5395">
              <w:fldChar w:fldCharType="separate"/>
            </w:r>
            <w:r w:rsidR="00FA43DB">
              <w:fldChar w:fldCharType="begin"/>
            </w:r>
            <w:r w:rsidR="00FA43DB">
              <w:instrText xml:space="preserve"> INCLUDEPICTURE  "https://upload.wikimedia.org/wikipedia/commons/thumb/7/77/Open_Access_logo_PLoS_transparent.svg/142px-Open_Access_logo_PLoS_transparent.svg.png" \* MERGEFORMATINET </w:instrText>
            </w:r>
            <w:r w:rsidR="00FA43DB">
              <w:fldChar w:fldCharType="separate"/>
            </w:r>
            <w:r w:rsidR="00800AA6">
              <w:fldChar w:fldCharType="begin"/>
            </w:r>
            <w:r w:rsidR="00800AA6">
              <w:instrText xml:space="preserve"> INCLUDEPICTURE  "https://upload.wikimedia.org/wikipedia/commons/thumb/7/77/Open_Access_logo_PLoS_transparent.svg/142px-Open_Access_logo_PLoS_transparent.svg.png" \* MERGEFORMATINET </w:instrText>
            </w:r>
            <w:r w:rsidR="00800AA6">
              <w:fldChar w:fldCharType="separate"/>
            </w:r>
            <w:r w:rsidR="00655F5D">
              <w:fldChar w:fldCharType="begin"/>
            </w:r>
            <w:r w:rsidR="00655F5D">
              <w:instrText xml:space="preserve"> INCLUDEPICTURE  "https://upload.wikimedia.org/wikipedia/commons/thumb/7/77/Open_Access_logo_PLoS_transparent.svg/142px-Open_Access_logo_PLoS_transparent.svg.png" \* MERGEFORMATINET </w:instrText>
            </w:r>
            <w:r w:rsidR="00655F5D">
              <w:fldChar w:fldCharType="separate"/>
            </w:r>
            <w:r w:rsidR="00D86B94">
              <w:fldChar w:fldCharType="begin"/>
            </w:r>
            <w:r w:rsidR="00D86B94">
              <w:instrText xml:space="preserve"> INCLUDEPICTURE  "https://upload.wikimedia.org/wikipedia/commons/thumb/7/77/Open_Access_logo_PLoS_transparent.svg/142px-Open_Access_logo_PLoS_transparent.svg.png" \* MERGEFORMATINET </w:instrText>
            </w:r>
            <w:r w:rsidR="00D86B94">
              <w:fldChar w:fldCharType="separate"/>
            </w:r>
            <w:r w:rsidR="005926C2">
              <w:fldChar w:fldCharType="begin"/>
            </w:r>
            <w:r w:rsidR="005926C2">
              <w:instrText xml:space="preserve"> INCLUDEPICTURE  "https://upload.wikimedia.org/wikipedia/commons/thumb/7/77/Open_Access_logo_PLoS_transparent.svg/142px-Open_Access_logo_PLoS_transparent.svg.png" \* MERGEFORMATINET </w:instrText>
            </w:r>
            <w:r w:rsidR="005926C2">
              <w:fldChar w:fldCharType="separate"/>
            </w:r>
            <w:r w:rsidR="00E90B08">
              <w:fldChar w:fldCharType="begin"/>
            </w:r>
            <w:r w:rsidR="00E90B08">
              <w:instrText xml:space="preserve"> INCLUDEPICTURE  "https://upload.wikimedia.org/wikipedia/commons/thumb/7/77/Open_Access_logo_PLoS_transparent.svg/142px-Open_Access_logo_PLoS_transparent.svg.png" \* MERGEFORMATINET </w:instrText>
            </w:r>
            <w:r w:rsidR="00E90B08">
              <w:fldChar w:fldCharType="separate"/>
            </w:r>
            <w:r w:rsidR="00B91DE2">
              <w:fldChar w:fldCharType="begin"/>
            </w:r>
            <w:r w:rsidR="00B91DE2">
              <w:instrText xml:space="preserve"> INCLUDEPICTURE  "https://upload.wikimedia.org/wikipedia/commons/thumb/7/77/Open_Access_logo_PLoS_transparent.svg/142px-Open_Access_logo_PLoS_transparent.svg.png" \* MERGEFORMATINET </w:instrText>
            </w:r>
            <w:r w:rsidR="00B91DE2">
              <w:fldChar w:fldCharType="separate"/>
            </w:r>
            <w:r w:rsidR="007E39A9">
              <w:fldChar w:fldCharType="begin"/>
            </w:r>
            <w:r w:rsidR="007E39A9">
              <w:instrText xml:space="preserve"> INCLUDEPICTURE  "https://upload.wikimedia.org/wikipedia/commons/thumb/7/77/Open_Access_logo_PLoS_transparent.svg/142px-Open_Access_logo_PLoS_transparent.svg.png" \* MERGEFORMATINET </w:instrText>
            </w:r>
            <w:r w:rsidR="007E39A9">
              <w:fldChar w:fldCharType="separate"/>
            </w:r>
            <w:r w:rsidR="006F4957">
              <w:fldChar w:fldCharType="begin"/>
            </w:r>
            <w:r w:rsidR="006F4957">
              <w:instrText xml:space="preserve"> INCLUDEPICTURE  "https://upload.wikimedia.org/wikipedia/commons/thumb/7/77/Open_Access_logo_PLoS_transparent.svg/142px-Open_Access_logo_PLoS_transparent.svg.png" \* MERGEFORMATINET </w:instrText>
            </w:r>
            <w:r w:rsidR="006F4957">
              <w:fldChar w:fldCharType="separate"/>
            </w:r>
            <w:r w:rsidR="00A170E5">
              <w:fldChar w:fldCharType="begin"/>
            </w:r>
            <w:r w:rsidR="00A170E5">
              <w:instrText xml:space="preserve"> INCLUDEPICTURE  "https://upload.wikimedia.org/wikipedia/commons/thumb/7/77/Open_Access_logo_PLoS_transparent.svg/142px-Open_Access_logo_PLoS_transparent.svg.png" \* MERGEFORMATINET </w:instrText>
            </w:r>
            <w:r w:rsidR="00A170E5">
              <w:fldChar w:fldCharType="separate"/>
            </w:r>
            <w:r w:rsidR="007B2AA7">
              <w:fldChar w:fldCharType="begin"/>
            </w:r>
            <w:r w:rsidR="007B2AA7">
              <w:instrText xml:space="preserve"> INCLUDEPICTURE  "https://upload.wikimedia.org/wikipedia/commons/thumb/7/77/Open_Access_logo_PLoS_transparent.svg/142px-Open_Access_logo_PLoS_transparent.svg.png" \* MERGEFORMATINET </w:instrText>
            </w:r>
            <w:r w:rsidR="007B2AA7">
              <w:fldChar w:fldCharType="separate"/>
            </w:r>
            <w:r w:rsidR="00C318F3">
              <w:fldChar w:fldCharType="begin"/>
            </w:r>
            <w:r w:rsidR="00C318F3">
              <w:instrText xml:space="preserve"> INCLUDEPICTURE  "https://upload.wikimedia.org/wikipedia/commons/thumb/7/77/Open_Access_logo_PLoS_transparent.svg/142px-Open_Access_logo_PLoS_transparent.svg.png" \* MERGEFORMATINET </w:instrText>
            </w:r>
            <w:r w:rsidR="00C318F3">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fldChar w:fldCharType="begin"/>
            </w:r>
            <w:r>
              <w:instrText xml:space="preserve"> INCLUDEPICTURE  "https://upload.wikimedia.org/wikipedia/commons/thumb/7/77/Open_Access_logo_PLoS_transparent.svg/142px-Open_Access_logo_PLoS_transparent.svg.png" \* MERGEFORMATINET </w:instrText>
            </w:r>
            <w:r>
              <w:fldChar w:fldCharType="separate"/>
            </w:r>
            <w:r w:rsidR="00FD77EB">
              <w:fldChar w:fldCharType="begin"/>
            </w:r>
            <w:r w:rsidR="00FD77EB">
              <w:instrText xml:space="preserve"> </w:instrText>
            </w:r>
            <w:r w:rsidR="00FD77EB">
              <w:instrText>INCLUDEPICTURE  "https://upload.wikimedia.org/wikipedia/commons/thumb/7/77/Open_Access_logo_</w:instrText>
            </w:r>
            <w:r w:rsidR="00FD77EB">
              <w:instrText>PLoS_transparent.svg/142px-Open_Access_logo_PLoS_transparent.svg.png" \* MERGEFORMATINET</w:instrText>
            </w:r>
            <w:r w:rsidR="00FD77EB">
              <w:instrText xml:space="preserve"> </w:instrText>
            </w:r>
            <w:r w:rsidR="00FD77EB">
              <w:fldChar w:fldCharType="separate"/>
            </w:r>
            <w:r w:rsidR="00FD77EB">
              <w:pict w14:anchorId="01E85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upload.wikimedia.org/wikipedia/commons/thumb/7/..." style="width:10.2pt;height:16.2pt">
                  <v:imagedata r:id="rId8" r:href="rId9"/>
                </v:shape>
              </w:pict>
            </w:r>
            <w:r w:rsidR="00FD77EB">
              <w:fldChar w:fldCharType="end"/>
            </w:r>
            <w:r>
              <w:fldChar w:fldCharType="end"/>
            </w:r>
            <w:r>
              <w:fldChar w:fldCharType="end"/>
            </w:r>
            <w:r>
              <w:fldChar w:fldCharType="end"/>
            </w:r>
            <w:r w:rsidR="00C318F3">
              <w:fldChar w:fldCharType="end"/>
            </w:r>
            <w:r w:rsidR="007B2AA7">
              <w:fldChar w:fldCharType="end"/>
            </w:r>
            <w:r w:rsidR="00A170E5">
              <w:fldChar w:fldCharType="end"/>
            </w:r>
            <w:r w:rsidR="006F4957">
              <w:fldChar w:fldCharType="end"/>
            </w:r>
            <w:r w:rsidR="007E39A9">
              <w:fldChar w:fldCharType="end"/>
            </w:r>
            <w:r w:rsidR="00B91DE2">
              <w:fldChar w:fldCharType="end"/>
            </w:r>
            <w:r w:rsidR="00E90B08">
              <w:fldChar w:fldCharType="end"/>
            </w:r>
            <w:r w:rsidR="005926C2">
              <w:fldChar w:fldCharType="end"/>
            </w:r>
            <w:r w:rsidR="00D86B94">
              <w:fldChar w:fldCharType="end"/>
            </w:r>
            <w:r w:rsidR="00655F5D">
              <w:fldChar w:fldCharType="end"/>
            </w:r>
            <w:r w:rsidR="00800AA6">
              <w:fldChar w:fldCharType="end"/>
            </w:r>
            <w:r w:rsidR="00FA43DB">
              <w:fldChar w:fldCharType="end"/>
            </w:r>
            <w:r w:rsidR="001D5395">
              <w:fldChar w:fldCharType="end"/>
            </w:r>
            <w:r w:rsidR="007218E6">
              <w:fldChar w:fldCharType="end"/>
            </w:r>
            <w:r>
              <w:fldChar w:fldCharType="end"/>
            </w:r>
            <w:r>
              <w:fldChar w:fldCharType="end"/>
            </w:r>
            <w:r>
              <w:fldChar w:fldCharType="end"/>
            </w:r>
            <w:r>
              <w:fldChar w:fldCharType="end"/>
            </w:r>
            <w:r>
              <w:fldChar w:fldCharType="end"/>
            </w:r>
            <w:r>
              <w:t xml:space="preserve"> </w:t>
            </w:r>
            <w:r w:rsidR="00B42B85">
              <w:rPr>
                <w:noProof/>
              </w:rPr>
              <w:drawing>
                <wp:inline distT="0" distB="0" distL="0" distR="0" wp14:anchorId="4A01E252" wp14:editId="5E252FA1">
                  <wp:extent cx="563880" cy="1981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98120"/>
                          </a:xfrm>
                          <a:prstGeom prst="rect">
                            <a:avLst/>
                          </a:prstGeom>
                          <a:noFill/>
                          <a:ln>
                            <a:noFill/>
                          </a:ln>
                        </pic:spPr>
                      </pic:pic>
                    </a:graphicData>
                  </a:graphic>
                </wp:inline>
              </w:drawing>
            </w:r>
          </w:p>
        </w:tc>
        <w:tc>
          <w:tcPr>
            <w:tcW w:w="7195" w:type="dxa"/>
            <w:shd w:val="clear" w:color="auto" w:fill="auto"/>
          </w:tcPr>
          <w:p w14:paraId="18097B19" w14:textId="77777777" w:rsidR="002E60DC" w:rsidRPr="00EF6EE5" w:rsidRDefault="002E60DC" w:rsidP="002E60DC">
            <w:pPr>
              <w:jc w:val="both"/>
              <w:rPr>
                <w:rFonts w:cs="Arial"/>
                <w:i/>
                <w:sz w:val="18"/>
              </w:rPr>
            </w:pPr>
            <w:r w:rsidRPr="002F0A7A">
              <w:rPr>
                <w:rFonts w:cs="Arial"/>
                <w:b/>
                <w:iCs/>
                <w:sz w:val="18"/>
              </w:rPr>
              <w:t>Abstract</w:t>
            </w:r>
            <w:r>
              <w:rPr>
                <w:rFonts w:cs="Arial"/>
                <w:b/>
                <w:iCs/>
                <w:sz w:val="18"/>
              </w:rPr>
              <w:t xml:space="preserve">: </w:t>
            </w:r>
            <w:r w:rsidRPr="003974F5">
              <w:rPr>
                <w:rFonts w:cs="Arial"/>
                <w:i/>
                <w:sz w:val="18"/>
              </w:rPr>
              <w:t>The</w:t>
            </w:r>
            <w:r>
              <w:rPr>
                <w:rFonts w:cs="Arial"/>
                <w:i/>
                <w:sz w:val="18"/>
              </w:rPr>
              <w:t xml:space="preserve"> title, </w:t>
            </w:r>
            <w:r w:rsidRPr="00EF6EE5">
              <w:rPr>
                <w:rFonts w:cs="Arial"/>
                <w:i/>
                <w:sz w:val="18"/>
              </w:rPr>
              <w:t xml:space="preserve">formulated briefly and clearly, </w:t>
            </w:r>
            <w:r>
              <w:rPr>
                <w:rFonts w:cs="Arial"/>
                <w:i/>
                <w:sz w:val="18"/>
              </w:rPr>
              <w:t>is</w:t>
            </w:r>
            <w:r w:rsidRPr="00EF6EE5">
              <w:rPr>
                <w:rFonts w:cs="Arial"/>
                <w:i/>
                <w:sz w:val="18"/>
              </w:rPr>
              <w:t xml:space="preserve"> written in Arial, 14pt, bold, 1 space, middle margin, capital letters</w:t>
            </w:r>
            <w:r>
              <w:rPr>
                <w:rFonts w:cs="Arial"/>
                <w:i/>
                <w:sz w:val="18"/>
              </w:rPr>
              <w:t>,</w:t>
            </w:r>
            <w:r w:rsidRPr="00EF6EE5">
              <w:rPr>
                <w:rFonts w:cs="Arial"/>
                <w:i/>
                <w:sz w:val="18"/>
              </w:rPr>
              <w:t xml:space="preserve"> and a maximum of 20 words. The latest topic or is the result of research. The </w:t>
            </w:r>
            <w:r>
              <w:rPr>
                <w:rFonts w:cs="Arial"/>
                <w:i/>
                <w:sz w:val="18"/>
              </w:rPr>
              <w:t>authors' name</w:t>
            </w:r>
            <w:r w:rsidRPr="00EF6EE5">
              <w:rPr>
                <w:rFonts w:cs="Arial"/>
                <w:i/>
                <w:sz w:val="18"/>
              </w:rPr>
              <w:t xml:space="preserve">s are all without titles, written in Arial, 10pt, bold, middle margin. The </w:t>
            </w:r>
            <w:r>
              <w:rPr>
                <w:rFonts w:cs="Arial"/>
                <w:i/>
                <w:sz w:val="18"/>
              </w:rPr>
              <w:t>institution's name</w:t>
            </w:r>
            <w:r w:rsidRPr="00EF6EE5">
              <w:rPr>
                <w:rFonts w:cs="Arial"/>
                <w:i/>
                <w:sz w:val="18"/>
              </w:rPr>
              <w:t xml:space="preserve"> in the second line is in the order of the author's institution, written in Arial letter, italic, </w:t>
            </w:r>
            <w:r>
              <w:rPr>
                <w:rFonts w:cs="Arial"/>
                <w:i/>
                <w:sz w:val="18"/>
              </w:rPr>
              <w:t>8</w:t>
            </w:r>
            <w:r w:rsidRPr="00EF6EE5">
              <w:rPr>
                <w:rFonts w:cs="Arial"/>
                <w:i/>
                <w:sz w:val="18"/>
              </w:rPr>
              <w:t xml:space="preserve">pt, middle margin. </w:t>
            </w:r>
            <w:r>
              <w:rPr>
                <w:rFonts w:cs="Arial"/>
                <w:i/>
                <w:sz w:val="18"/>
              </w:rPr>
              <w:t>The a</w:t>
            </w:r>
            <w:r w:rsidRPr="00EF6EE5">
              <w:rPr>
                <w:rFonts w:cs="Arial"/>
                <w:i/>
                <w:sz w:val="18"/>
              </w:rPr>
              <w:t xml:space="preserve">uthor's institution address </w:t>
            </w:r>
            <w:r>
              <w:rPr>
                <w:rFonts w:cs="Arial"/>
                <w:i/>
                <w:sz w:val="18"/>
              </w:rPr>
              <w:t xml:space="preserve">is </w:t>
            </w:r>
            <w:r w:rsidRPr="00EF6EE5">
              <w:rPr>
                <w:rFonts w:cs="Arial"/>
                <w:i/>
                <w:sz w:val="18"/>
              </w:rPr>
              <w:t xml:space="preserve">in the third line. The writing of the second identity and so on is the same as the first writer. Abstract manuscripts written in Arial, italic, </w:t>
            </w:r>
            <w:r>
              <w:rPr>
                <w:rFonts w:cs="Arial"/>
                <w:i/>
                <w:sz w:val="18"/>
              </w:rPr>
              <w:t>9</w:t>
            </w:r>
            <w:r w:rsidRPr="00EF6EE5">
              <w:rPr>
                <w:rFonts w:cs="Arial"/>
                <w:i/>
                <w:sz w:val="18"/>
              </w:rPr>
              <w:t xml:space="preserve">pt, 1 space, maximum </w:t>
            </w:r>
            <w:r>
              <w:rPr>
                <w:rFonts w:cs="Arial"/>
                <w:i/>
                <w:sz w:val="18"/>
              </w:rPr>
              <w:t>of</w:t>
            </w:r>
            <w:r w:rsidRPr="00EF6EE5">
              <w:rPr>
                <w:rFonts w:cs="Arial"/>
                <w:i/>
                <w:sz w:val="18"/>
              </w:rPr>
              <w:t xml:space="preserve"> 200 words. If the article is in Indonesian, the</w:t>
            </w:r>
            <w:r>
              <w:rPr>
                <w:rFonts w:cs="Arial"/>
                <w:i/>
                <w:sz w:val="18"/>
              </w:rPr>
              <w:t xml:space="preserve"> abstract must be written in Indonesian and</w:t>
            </w:r>
            <w:r w:rsidRPr="00EF6EE5">
              <w:rPr>
                <w:rFonts w:cs="Arial"/>
                <w:i/>
                <w:sz w:val="18"/>
              </w:rPr>
              <w:t xml:space="preserve"> good English. If the article is in English, then the abstract must be written in English only. The abstract must be concise and contain the core of the problem to be raised, the objectives, the method of its resolution, the results of scientific findings obtained, and conclusions. Abstracts for each language should only be written in one paragraph with one column</w:t>
            </w:r>
            <w:r>
              <w:rPr>
                <w:rFonts w:cs="Arial"/>
                <w:i/>
                <w:sz w:val="18"/>
              </w:rPr>
              <w:t xml:space="preserve"> format</w:t>
            </w:r>
            <w:r w:rsidRPr="00EF6EE5">
              <w:rPr>
                <w:rFonts w:cs="Arial"/>
                <w:i/>
                <w:sz w:val="18"/>
              </w:rPr>
              <w:t xml:space="preserve">. Keywords are written in Arial, </w:t>
            </w:r>
            <w:r>
              <w:rPr>
                <w:rFonts w:cs="Arial"/>
                <w:i/>
                <w:sz w:val="18"/>
              </w:rPr>
              <w:t>9</w:t>
            </w:r>
            <w:r w:rsidRPr="00EF6EE5">
              <w:rPr>
                <w:rFonts w:cs="Arial"/>
                <w:i/>
                <w:sz w:val="18"/>
              </w:rPr>
              <w:t>pt, bold</w:t>
            </w:r>
            <w:r>
              <w:rPr>
                <w:rFonts w:cs="Arial"/>
                <w:i/>
                <w:sz w:val="18"/>
              </w:rPr>
              <w:t>,</w:t>
            </w:r>
            <w:r w:rsidRPr="00EF6EE5">
              <w:rPr>
                <w:rFonts w:cs="Arial"/>
                <w:i/>
                <w:sz w:val="18"/>
              </w:rPr>
              <w:t xml:space="preserve"> and italic.</w:t>
            </w:r>
          </w:p>
          <w:p w14:paraId="5BB7D437" w14:textId="19C432BF" w:rsidR="004656FF" w:rsidRPr="002E60DC" w:rsidRDefault="002E60DC" w:rsidP="004656FF">
            <w:pPr>
              <w:jc w:val="both"/>
              <w:rPr>
                <w:rFonts w:cs="Arial"/>
                <w:i/>
                <w:sz w:val="18"/>
              </w:rPr>
            </w:pPr>
            <w:r w:rsidRPr="00EF6EE5">
              <w:rPr>
                <w:rFonts w:cs="Arial"/>
                <w:b/>
                <w:i/>
                <w:sz w:val="18"/>
              </w:rPr>
              <w:t>Keywords:</w:t>
            </w:r>
            <w:r w:rsidRPr="00EF6EE5">
              <w:rPr>
                <w:rFonts w:cs="Arial"/>
                <w:i/>
                <w:sz w:val="18"/>
              </w:rPr>
              <w:t xml:space="preserve"> article; geoscience; remote sensing; unila; writing instructions</w:t>
            </w:r>
          </w:p>
        </w:tc>
      </w:tr>
      <w:tr w:rsidR="004656FF" w:rsidRPr="00ED1FF2" w14:paraId="4388DF00" w14:textId="77777777" w:rsidTr="001839B8">
        <w:trPr>
          <w:trHeight w:val="68"/>
        </w:trPr>
        <w:tc>
          <w:tcPr>
            <w:tcW w:w="9322" w:type="dxa"/>
            <w:gridSpan w:val="2"/>
            <w:tcBorders>
              <w:bottom w:val="single" w:sz="6" w:space="0" w:color="auto"/>
            </w:tcBorders>
            <w:shd w:val="clear" w:color="auto" w:fill="auto"/>
          </w:tcPr>
          <w:p w14:paraId="6542822D" w14:textId="5387ED5E" w:rsidR="004516F9" w:rsidRPr="004516F9" w:rsidRDefault="004516F9" w:rsidP="002E60DC">
            <w:pPr>
              <w:jc w:val="both"/>
              <w:rPr>
                <w:rFonts w:eastAsia="Times New Roman" w:cs="Arial"/>
                <w:bCs/>
                <w:iCs/>
                <w:sz w:val="16"/>
                <w:szCs w:val="20"/>
              </w:rPr>
            </w:pPr>
          </w:p>
        </w:tc>
      </w:tr>
    </w:tbl>
    <w:p w14:paraId="74DFD6FE" w14:textId="77777777" w:rsidR="00E87A47" w:rsidRDefault="00E87A47" w:rsidP="00094C84">
      <w:pPr>
        <w:rPr>
          <w:rFonts w:eastAsia="Times New Roman" w:cs="Arial"/>
        </w:rPr>
      </w:pPr>
    </w:p>
    <w:p w14:paraId="4A47BFDD" w14:textId="77777777" w:rsidR="00C1116A" w:rsidRDefault="00C1116A" w:rsidP="00AD56E7">
      <w:pPr>
        <w:pStyle w:val="Heading1"/>
        <w:sectPr w:rsidR="00C1116A" w:rsidSect="00B42B85">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418" w:header="283" w:footer="680" w:gutter="0"/>
          <w:pgNumType w:start="7"/>
          <w:cols w:space="720"/>
          <w:docGrid w:linePitch="360"/>
        </w:sectPr>
      </w:pPr>
    </w:p>
    <w:p w14:paraId="3D986936" w14:textId="77777777" w:rsidR="00E87A47" w:rsidRPr="00094C84" w:rsidRDefault="00AD56E7" w:rsidP="00AD56E7">
      <w:pPr>
        <w:pStyle w:val="Heading1"/>
      </w:pPr>
      <w:r>
        <w:t>1. PENDAHULUAN</w:t>
      </w:r>
    </w:p>
    <w:p w14:paraId="1B0913FC" w14:textId="7BA46F94" w:rsidR="00C1116A" w:rsidRDefault="0033533E" w:rsidP="003974F5">
      <w:pPr>
        <w:ind w:firstLine="284"/>
        <w:jc w:val="both"/>
      </w:pPr>
      <w:r w:rsidRPr="0033533E">
        <w:rPr>
          <w:rFonts w:cs="Arial"/>
        </w:rPr>
        <w:t>Scientific articles are written in 2-column format with the letters Arial, size 10, 1-spaced on A4 paper, with left margins of 2.5 cm, right 2 cm, top 2 cm</w:t>
      </w:r>
      <w:r>
        <w:rPr>
          <w:rFonts w:cs="Arial"/>
        </w:rPr>
        <w:t>,</w:t>
      </w:r>
      <w:r w:rsidRPr="0033533E">
        <w:rPr>
          <w:rFonts w:cs="Arial"/>
        </w:rPr>
        <w:t xml:space="preserve"> and bottom 2 cm with a maximum number of pages of 10 pages. The introduction contains the background of the problem</w:t>
      </w:r>
      <w:r>
        <w:rPr>
          <w:rFonts w:cs="Arial"/>
        </w:rPr>
        <w:t>,</w:t>
      </w:r>
      <w:r w:rsidRPr="0033533E">
        <w:rPr>
          <w:rFonts w:cs="Arial"/>
        </w:rPr>
        <w:t xml:space="preserve"> which is supported by concepts, theories</w:t>
      </w:r>
      <w:r>
        <w:rPr>
          <w:rFonts w:cs="Arial"/>
        </w:rPr>
        <w:t>,</w:t>
      </w:r>
      <w:r w:rsidRPr="0033533E">
        <w:rPr>
          <w:rFonts w:cs="Arial"/>
        </w:rPr>
        <w:t xml:space="preserve"> and research results from relevant and up-to-date </w:t>
      </w:r>
      <w:r>
        <w:rPr>
          <w:rFonts w:cs="Arial"/>
        </w:rPr>
        <w:t>literature sources</w:t>
      </w:r>
      <w:r w:rsidRPr="0033533E">
        <w:rPr>
          <w:rFonts w:cs="Arial"/>
        </w:rPr>
        <w:t xml:space="preserve">. End with a clear purpose </w:t>
      </w:r>
      <w:r>
        <w:rPr>
          <w:rFonts w:cs="Arial"/>
        </w:rPr>
        <w:t>for</w:t>
      </w:r>
      <w:r w:rsidRPr="0033533E">
        <w:rPr>
          <w:rFonts w:cs="Arial"/>
        </w:rPr>
        <w:t xml:space="preserve"> writing articles or research. Articles published in JGRS are original scientific research results</w:t>
      </w:r>
      <w:r>
        <w:rPr>
          <w:rFonts w:cs="Arial"/>
        </w:rPr>
        <w:t>, a priority, and scientific review articles,</w:t>
      </w:r>
      <w:r w:rsidRPr="0033533E">
        <w:rPr>
          <w:rFonts w:cs="Arial"/>
        </w:rPr>
        <w:t xml:space="preserve"> which are also considered. JGRS accepts manuscripts or articles in geoscience and remote sensing. The scope of published research topics is part of the field of geoscience</w:t>
      </w:r>
      <w:r>
        <w:rPr>
          <w:rFonts w:cs="Arial"/>
        </w:rPr>
        <w:t>,</w:t>
      </w:r>
      <w:r w:rsidRPr="0033533E">
        <w:rPr>
          <w:rFonts w:cs="Arial"/>
        </w:rPr>
        <w:t xml:space="preserve"> including Geology, Geophysics, Remote Sensing, Exploration of Natural Resources (Oil and Gas, Minerals and Coal), Geothermal and Geological Disaster Mitigation (Volcanoes, Earthquakes and Tsunamis, Landslides, Subside</w:t>
      </w:r>
      <w:r>
        <w:rPr>
          <w:rFonts w:cs="Arial"/>
        </w:rPr>
        <w:t>nces</w:t>
      </w:r>
      <w:r w:rsidRPr="0033533E">
        <w:rPr>
          <w:rFonts w:cs="Arial"/>
        </w:rPr>
        <w:t xml:space="preserve"> etc.)</w:t>
      </w:r>
      <w:r w:rsidR="00FC0942">
        <w:t xml:space="preserve"> </w:t>
      </w:r>
      <w:r w:rsidR="00FC0942">
        <w:fldChar w:fldCharType="begin" w:fldLock="1"/>
      </w:r>
      <w:r w:rsidR="008E557F">
        <w:instrText>ADDIN CSL_CITATION {"citationItems":[{"id":"ITEM-1","itemData":{"DOI":"10.17014/ijog.4.3.193-208","ISSN":"23559306","abstract":"The study discusses about characteristics of Sumatra Fault and its tectonic activity in Liwa and the adjacent area. The research uses quantitative methods of verification hypothetical deduction, which starts from the general approach, then it pursues into more specialized and focused ones. While the research work includes field measurements, remote sensing with GIS, and geomorphologic analysis using morphometry, such as: sinousity of mountain front (Smf), percentage of facets, ratio of the width and height of the valley (Vf), bifurcation ratios of the river (Rb), drainage density (Dd), shape of the watershed basin area (Bs), hypsometric curves (HI), and gradient index of stream length (SL). Basically, two blocks separated by the Sumatra Fault do not have a significant difference in tectonic activity, but the tectonic activity change can be seen when the studied area is divided into three blocks (northwest, middle, and southeast), then the change in each part can clearly be seen. Apparently, the tectonic activity in the studied area starts from the southeast continues toward the northwest. It is proved by this research, that geomorphological parameters which are associated with mountain fronts and watershed systems demonstrate the value of the activity increases towards the northwest. Hypsometric curves and a river analysis show that the tectonic activity in the northwest is relatively in a young stage, while towards the southeast it is getting in a mature stage.","author":[{"dropping-particle":"","family":"Yudhicara","given":"","non-dropping-particle":"","parse-names":false,"suffix":""},{"dropping-particle":"","family":"Muslim","given":"Dicky","non-dropping-particle":"","parse-names":false,"suffix":""},{"dropping-particle":"","family":"Sudradjat","given":"Adjat","non-dropping-particle":"","parse-names":false,"suffix":""}],"container-title":"Indonesian Journal on Geoscience","id":"ITEM-1","issue":"3","issued":{"date-parts":[["2017"]]},"page":"193-208","publisher":"Geological Agency","title":"Geomorphic analysis in determining tectonic activity affected by Sumatra Fault in Liwa region and its surrounding area, Lampung, Indonesia","type":"article-journal","volume":"4"},"uris":["http://www.mendeley.com/documents/?uuid=c66fd45a-52b0-34dd-abc0-b66498cc9949"]}],"mendeley":{"formattedCitation":"(Yudhicara dkk., 2017)","plainTextFormattedCitation":"(Yudhicara dkk., 2017)","previouslyFormattedCitation":"(Yudhicara et al., 2017)"},"properties":{"noteIndex":0},"schema":"https://github.com/citation-style-language/schema/raw/master/csl-citation.json"}</w:instrText>
      </w:r>
      <w:r w:rsidR="00FC0942">
        <w:fldChar w:fldCharType="separate"/>
      </w:r>
      <w:r w:rsidR="008E557F" w:rsidRPr="008E557F">
        <w:rPr>
          <w:noProof/>
        </w:rPr>
        <w:t xml:space="preserve">(Yudhicara </w:t>
      </w:r>
      <w:r>
        <w:rPr>
          <w:noProof/>
        </w:rPr>
        <w:t>et al</w:t>
      </w:r>
      <w:r w:rsidR="008E557F" w:rsidRPr="008E557F">
        <w:rPr>
          <w:noProof/>
        </w:rPr>
        <w:t>., 2017)</w:t>
      </w:r>
      <w:r w:rsidR="00FC0942">
        <w:fldChar w:fldCharType="end"/>
      </w:r>
      <w:r w:rsidR="000E281A">
        <w:t>.</w:t>
      </w:r>
    </w:p>
    <w:p w14:paraId="46507C72" w14:textId="1CDFA25E" w:rsidR="009325F8" w:rsidRDefault="00CA33A5" w:rsidP="009325F8">
      <w:pPr>
        <w:ind w:firstLine="284"/>
        <w:jc w:val="both"/>
        <w:rPr>
          <w:rFonts w:cs="Arial"/>
        </w:rPr>
      </w:pPr>
      <w:r w:rsidRPr="00CA33A5">
        <w:rPr>
          <w:rFonts w:cs="Arial"/>
        </w:rPr>
        <w:t xml:space="preserve">Articles that will be published in JGRS have gone through a review process by </w:t>
      </w:r>
      <w:r w:rsidR="0084678D">
        <w:rPr>
          <w:rFonts w:cs="Arial"/>
        </w:rPr>
        <w:t xml:space="preserve">the </w:t>
      </w:r>
      <w:r>
        <w:rPr>
          <w:rFonts w:cs="Arial"/>
        </w:rPr>
        <w:t>reviewer</w:t>
      </w:r>
      <w:r w:rsidRPr="00CA33A5">
        <w:rPr>
          <w:rFonts w:cs="Arial"/>
        </w:rPr>
        <w:t xml:space="preserve"> with a blind review system. The decision whether or not to accept an article submitted to JGRS is the full right of the editorial board based on the recommendation of reviewers and the consideration of the chief editor. Provisions related to plagiarism, copyright infringement</w:t>
      </w:r>
      <w:r>
        <w:rPr>
          <w:rFonts w:cs="Arial"/>
        </w:rPr>
        <w:t>,</w:t>
      </w:r>
      <w:r w:rsidRPr="00CA33A5">
        <w:rPr>
          <w:rFonts w:cs="Arial"/>
        </w:rPr>
        <w:t xml:space="preserve"> and defamation are included in the guidelines provided on the </w:t>
      </w:r>
      <w:hyperlink r:id="rId17" w:history="1">
        <w:r w:rsidRPr="00755FE9">
          <w:rPr>
            <w:rStyle w:val="Hyperlink"/>
            <w:rFonts w:cs="Arial"/>
          </w:rPr>
          <w:t>https://jgrs.eng.unila.ac.id</w:t>
        </w:r>
      </w:hyperlink>
      <w:r>
        <w:rPr>
          <w:rFonts w:cs="Arial"/>
        </w:rPr>
        <w:t xml:space="preserve"> </w:t>
      </w:r>
      <w:r w:rsidRPr="00CA33A5">
        <w:rPr>
          <w:rFonts w:cs="Arial"/>
        </w:rPr>
        <w:t>page. In making decisions, the editors will confer with the parties. The editor evaluates manuscripts regardless of ethnicity, race, religion, gender, nationality</w:t>
      </w:r>
      <w:r w:rsidR="0084678D">
        <w:rPr>
          <w:rFonts w:cs="Arial"/>
        </w:rPr>
        <w:t>,</w:t>
      </w:r>
      <w:r w:rsidRPr="00CA33A5">
        <w:rPr>
          <w:rFonts w:cs="Arial"/>
        </w:rPr>
        <w:t xml:space="preserve"> and other matters contrary to humanitarian principles.</w:t>
      </w:r>
    </w:p>
    <w:p w14:paraId="18C2E959" w14:textId="058372F2" w:rsidR="00D31C9B" w:rsidRDefault="000A71F9" w:rsidP="009325F8">
      <w:pPr>
        <w:ind w:firstLine="284"/>
        <w:jc w:val="both"/>
        <w:rPr>
          <w:rFonts w:cs="Arial"/>
        </w:rPr>
      </w:pPr>
      <w:r w:rsidRPr="000A71F9">
        <w:rPr>
          <w:rFonts w:cs="Arial"/>
        </w:rPr>
        <w:t xml:space="preserve">The description presented in the introductory section includes the importance of the study being </w:t>
      </w:r>
      <w:r w:rsidRPr="000A71F9">
        <w:rPr>
          <w:rFonts w:cs="Arial"/>
        </w:rPr>
        <w:t xml:space="preserve">carried out with the support of </w:t>
      </w:r>
      <w:r w:rsidR="00AE22FC">
        <w:rPr>
          <w:rFonts w:cs="Arial"/>
        </w:rPr>
        <w:t>several</w:t>
      </w:r>
      <w:r w:rsidRPr="000A71F9">
        <w:rPr>
          <w:rFonts w:cs="Arial"/>
        </w:rPr>
        <w:t xml:space="preserve"> good references. Citations from references from the last 5-10 years are preferred so that contributions to the research presented in this paper are obtained.</w:t>
      </w:r>
    </w:p>
    <w:p w14:paraId="087EBD33" w14:textId="77777777" w:rsidR="003514F8" w:rsidRDefault="003514F8" w:rsidP="003A530F">
      <w:pPr>
        <w:ind w:firstLine="284"/>
        <w:jc w:val="both"/>
        <w:rPr>
          <w:rFonts w:cs="Arial"/>
        </w:rPr>
      </w:pPr>
    </w:p>
    <w:p w14:paraId="012CF40B" w14:textId="02F6B615" w:rsidR="003514F8" w:rsidRDefault="003514F8" w:rsidP="003514F8">
      <w:pPr>
        <w:pStyle w:val="Heading1"/>
      </w:pPr>
      <w:r>
        <w:t xml:space="preserve">2. </w:t>
      </w:r>
      <w:r w:rsidR="000A71F9" w:rsidRPr="000A71F9">
        <w:t>MATERIALS AND METHODS</w:t>
      </w:r>
    </w:p>
    <w:p w14:paraId="39CCB20D" w14:textId="0D251358" w:rsidR="00DC3730" w:rsidRPr="00DC3730" w:rsidRDefault="00DC3730" w:rsidP="00DC3730">
      <w:pPr>
        <w:ind w:firstLine="284"/>
        <w:jc w:val="both"/>
        <w:rPr>
          <w:rFonts w:cs="Arial"/>
        </w:rPr>
      </w:pPr>
      <w:r>
        <w:rPr>
          <w:rFonts w:cs="Arial"/>
        </w:rPr>
        <w:t>This chapter explains</w:t>
      </w:r>
      <w:r w:rsidRPr="00DC3730">
        <w:rPr>
          <w:rFonts w:cs="Arial"/>
        </w:rPr>
        <w:t xml:space="preserve"> the tools and materials used a</w:t>
      </w:r>
      <w:r>
        <w:rPr>
          <w:rFonts w:cs="Arial"/>
        </w:rPr>
        <w:t>nd</w:t>
      </w:r>
      <w:r w:rsidRPr="00DC3730">
        <w:rPr>
          <w:rFonts w:cs="Arial"/>
        </w:rPr>
        <w:t xml:space="preserve"> the standard </w:t>
      </w:r>
      <w:r>
        <w:rPr>
          <w:rFonts w:cs="Arial"/>
        </w:rPr>
        <w:t>data collection and representation methods</w:t>
      </w:r>
      <w:r w:rsidRPr="00DC3730">
        <w:rPr>
          <w:rFonts w:cs="Arial"/>
        </w:rPr>
        <w:t xml:space="preserve">. Also explained are various formulas or scientific formulas, </w:t>
      </w:r>
      <w:r>
        <w:rPr>
          <w:rFonts w:cs="Arial"/>
        </w:rPr>
        <w:t>qualitative and/or quantitative data descriptions</w:t>
      </w:r>
      <w:r w:rsidRPr="00DC3730">
        <w:rPr>
          <w:rFonts w:cs="Arial"/>
        </w:rPr>
        <w:t>, data collection procedures, and data analysis procedures. Describe the types of tools and basic materials specifically. Also</w:t>
      </w:r>
      <w:r>
        <w:rPr>
          <w:rFonts w:cs="Arial"/>
        </w:rPr>
        <w:t>,</w:t>
      </w:r>
      <w:r w:rsidRPr="00DC3730">
        <w:rPr>
          <w:rFonts w:cs="Arial"/>
        </w:rPr>
        <w:t xml:space="preserve"> explain </w:t>
      </w:r>
      <w:r>
        <w:rPr>
          <w:rFonts w:cs="Arial"/>
        </w:rPr>
        <w:t xml:space="preserve">the process of </w:t>
      </w:r>
      <w:r w:rsidR="00922CE1">
        <w:rPr>
          <w:rFonts w:cs="Arial"/>
        </w:rPr>
        <w:t>acquisition</w:t>
      </w:r>
      <w:r>
        <w:rPr>
          <w:rFonts w:cs="Arial"/>
        </w:rPr>
        <w:t>, processing and analyzing the data obtained a</w:t>
      </w:r>
      <w:r w:rsidR="00922CE1">
        <w:rPr>
          <w:rFonts w:cs="Arial"/>
        </w:rPr>
        <w:t>nd</w:t>
      </w:r>
      <w:r w:rsidRPr="00DC3730">
        <w:rPr>
          <w:rFonts w:cs="Arial"/>
        </w:rPr>
        <w:t xml:space="preserve"> drawing conclusions.</w:t>
      </w:r>
    </w:p>
    <w:p w14:paraId="3B118493" w14:textId="0805D5D9" w:rsidR="00033A7C" w:rsidRDefault="00DC3730" w:rsidP="00DC3730">
      <w:pPr>
        <w:ind w:firstLine="284"/>
        <w:jc w:val="both"/>
      </w:pPr>
      <w:r w:rsidRPr="00DC3730">
        <w:rPr>
          <w:rFonts w:cs="Arial"/>
        </w:rPr>
        <w:t xml:space="preserve">Materials and Methods contains the </w:t>
      </w:r>
      <w:r w:rsidR="00922CE1">
        <w:rPr>
          <w:rFonts w:cs="Arial"/>
        </w:rPr>
        <w:t>primary</w:t>
      </w:r>
      <w:r w:rsidRPr="00DC3730">
        <w:rPr>
          <w:rFonts w:cs="Arial"/>
        </w:rPr>
        <w:t xml:space="preserve"> materials used in research and the methods used </w:t>
      </w:r>
      <w:r w:rsidR="00922CE1">
        <w:rPr>
          <w:rFonts w:cs="Arial"/>
        </w:rPr>
        <w:t>to solve problems,</w:t>
      </w:r>
      <w:r w:rsidRPr="00DC3730">
        <w:rPr>
          <w:rFonts w:cs="Arial"/>
        </w:rPr>
        <w:t xml:space="preserve"> including analytical methods. The main tool series should be presented in this section</w:t>
      </w:r>
      <w:r w:rsidR="00922CE1">
        <w:rPr>
          <w:rFonts w:cs="Arial"/>
        </w:rPr>
        <w:t>,</w:t>
      </w:r>
      <w:r w:rsidRPr="00DC3730">
        <w:rPr>
          <w:rFonts w:cs="Arial"/>
        </w:rPr>
        <w:t xml:space="preserve"> accompanied by a</w:t>
      </w:r>
      <w:r w:rsidR="00922CE1">
        <w:rPr>
          <w:rFonts w:cs="Arial"/>
        </w:rPr>
        <w:t>n</w:t>
      </w:r>
      <w:r w:rsidRPr="00DC3730">
        <w:rPr>
          <w:rFonts w:cs="Arial"/>
        </w:rPr>
        <w:t xml:space="preserve"> </w:t>
      </w:r>
      <w:r w:rsidR="00922CE1">
        <w:rPr>
          <w:rFonts w:cs="Arial"/>
        </w:rPr>
        <w:t>image description</w:t>
      </w:r>
      <w:r w:rsidRPr="00DC3730">
        <w:rPr>
          <w:rFonts w:cs="Arial"/>
        </w:rPr>
        <w:t xml:space="preserve">. Image captions are placed as part of the image title (figure caption) and not as part of the image (Figure 1). The methods used in completing the research are written in this section. Area studies can also be presented in a study if the research is related to </w:t>
      </w:r>
      <w:r w:rsidR="00922CE1">
        <w:rPr>
          <w:rFonts w:cs="Arial"/>
        </w:rPr>
        <w:t>using</w:t>
      </w:r>
      <w:r w:rsidRPr="00DC3730">
        <w:rPr>
          <w:rFonts w:cs="Arial"/>
        </w:rPr>
        <w:t xml:space="preserve"> geospatial data and information in the form of an image. Apart from that, the display of images must be </w:t>
      </w:r>
      <w:r w:rsidR="00AA12E9">
        <w:rPr>
          <w:rFonts w:cs="Arial"/>
        </w:rPr>
        <w:t>authentic</w:t>
      </w:r>
      <w:r w:rsidRPr="00DC3730">
        <w:rPr>
          <w:rFonts w:cs="Arial"/>
        </w:rPr>
        <w:t xml:space="preserve"> results of the work of researchers and not taken from the work of other researchers. If it has to be done like that, it requires written permission from the owner of the image.</w:t>
      </w:r>
    </w:p>
    <w:p w14:paraId="2A17E10B" w14:textId="7DF61D0D" w:rsidR="001F3E1C" w:rsidRDefault="0050071B" w:rsidP="003974F5">
      <w:pPr>
        <w:ind w:firstLine="284"/>
        <w:jc w:val="both"/>
      </w:pPr>
      <w:r>
        <w:t>Using figures in the form of maps</w:t>
      </w:r>
      <w:r w:rsidR="00AA12E9" w:rsidRPr="00AA12E9">
        <w:t xml:space="preserve"> is recommended not to use legends or other cartographic components separately from the main map. But it must be </w:t>
      </w:r>
      <w:r w:rsidR="00927E1C">
        <w:t>o</w:t>
      </w:r>
      <w:r w:rsidR="00AA12E9" w:rsidRPr="00AA12E9">
        <w:t>n the main map (Figure 1).</w:t>
      </w:r>
    </w:p>
    <w:p w14:paraId="712138DC" w14:textId="77777777" w:rsidR="001F3E1C" w:rsidRDefault="001F3E1C" w:rsidP="003974F5">
      <w:pPr>
        <w:ind w:firstLine="284"/>
        <w:jc w:val="both"/>
        <w:sectPr w:rsidR="001F3E1C" w:rsidSect="00ED1FF2">
          <w:headerReference w:type="default" r:id="rId18"/>
          <w:type w:val="continuous"/>
          <w:pgSz w:w="11907" w:h="16839" w:code="9"/>
          <w:pgMar w:top="1134" w:right="1134" w:bottom="1134" w:left="1418" w:header="567" w:footer="720" w:gutter="0"/>
          <w:cols w:num="2" w:space="284"/>
          <w:docGrid w:linePitch="360"/>
        </w:sectPr>
      </w:pPr>
    </w:p>
    <w:p w14:paraId="6FED62C4" w14:textId="48F8C71E" w:rsidR="009D649D" w:rsidRPr="005638B8" w:rsidRDefault="00B42B85" w:rsidP="009D649D">
      <w:pPr>
        <w:autoSpaceDE w:val="0"/>
        <w:autoSpaceDN w:val="0"/>
        <w:adjustRightInd w:val="0"/>
        <w:spacing w:line="276" w:lineRule="auto"/>
        <w:jc w:val="center"/>
        <w:rPr>
          <w:rFonts w:cs="Arial"/>
          <w:color w:val="383336"/>
        </w:rPr>
      </w:pPr>
      <w:r>
        <w:rPr>
          <w:rFonts w:cs="Arial"/>
          <w:noProof/>
          <w:color w:val="383336"/>
        </w:rPr>
        <w:lastRenderedPageBreak/>
        <w:drawing>
          <wp:inline distT="0" distB="0" distL="0" distR="0" wp14:anchorId="45543A7C" wp14:editId="04B904C6">
            <wp:extent cx="4434840" cy="34366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4840" cy="3436620"/>
                    </a:xfrm>
                    <a:prstGeom prst="rect">
                      <a:avLst/>
                    </a:prstGeom>
                    <a:noFill/>
                    <a:ln>
                      <a:noFill/>
                    </a:ln>
                  </pic:spPr>
                </pic:pic>
              </a:graphicData>
            </a:graphic>
          </wp:inline>
        </w:drawing>
      </w:r>
    </w:p>
    <w:p w14:paraId="00F2E0E8" w14:textId="265C0C24" w:rsidR="009D649D" w:rsidRPr="008E10E3" w:rsidRDefault="00EF1ECB" w:rsidP="00612A88">
      <w:pPr>
        <w:autoSpaceDE w:val="0"/>
        <w:autoSpaceDN w:val="0"/>
        <w:adjustRightInd w:val="0"/>
        <w:jc w:val="both"/>
        <w:rPr>
          <w:rFonts w:cs="Arial"/>
          <w:color w:val="000000"/>
        </w:rPr>
      </w:pPr>
      <w:r w:rsidRPr="00EF1ECB">
        <w:rPr>
          <w:rFonts w:cs="Arial"/>
          <w:b/>
          <w:bCs/>
          <w:color w:val="000000"/>
        </w:rPr>
        <w:t>Figure 1.</w:t>
      </w:r>
      <w:r w:rsidRPr="00EF1ECB">
        <w:rPr>
          <w:rFonts w:cs="Arial"/>
          <w:color w:val="000000"/>
        </w:rPr>
        <w:t xml:space="preserve"> Images can be positioned in one column if they are large</w:t>
      </w:r>
      <w:r>
        <w:rPr>
          <w:rFonts w:cs="Arial"/>
          <w:color w:val="000000"/>
        </w:rPr>
        <w:t>. In contrast,</w:t>
      </w:r>
      <w:r w:rsidRPr="00EF1ECB">
        <w:rPr>
          <w:rFonts w:cs="Arial"/>
          <w:color w:val="000000"/>
        </w:rPr>
        <w:t xml:space="preserve"> </w:t>
      </w:r>
      <w:r>
        <w:rPr>
          <w:rFonts w:cs="Arial"/>
          <w:color w:val="000000"/>
        </w:rPr>
        <w:t>small images</w:t>
      </w:r>
      <w:r w:rsidRPr="00EF1ECB">
        <w:rPr>
          <w:rFonts w:cs="Arial"/>
          <w:color w:val="000000"/>
        </w:rPr>
        <w:t xml:space="preserve"> can be entered in the same column as the text. Images and titles are centered, while image titles follow the justif</w:t>
      </w:r>
      <w:r w:rsidR="003E7337">
        <w:rPr>
          <w:rFonts w:cs="Arial"/>
          <w:color w:val="000000"/>
        </w:rPr>
        <w:t>ied</w:t>
      </w:r>
      <w:r w:rsidRPr="00EF1ECB">
        <w:rPr>
          <w:rFonts w:cs="Arial"/>
          <w:color w:val="000000"/>
        </w:rPr>
        <w:t xml:space="preserve"> format if more than 1 line.</w:t>
      </w:r>
    </w:p>
    <w:p w14:paraId="00AAE6BF" w14:textId="77777777" w:rsidR="009D649D" w:rsidRPr="005638B8" w:rsidRDefault="009D649D" w:rsidP="009D649D">
      <w:pPr>
        <w:autoSpaceDE w:val="0"/>
        <w:autoSpaceDN w:val="0"/>
        <w:adjustRightInd w:val="0"/>
        <w:spacing w:line="276" w:lineRule="auto"/>
        <w:rPr>
          <w:rFonts w:cs="Arial"/>
          <w:color w:val="383336"/>
        </w:rPr>
      </w:pPr>
    </w:p>
    <w:p w14:paraId="3762E549" w14:textId="77777777" w:rsidR="009D649D" w:rsidRDefault="009D649D" w:rsidP="00CB654D">
      <w:pPr>
        <w:jc w:val="both"/>
        <w:rPr>
          <w:rFonts w:cs="Arial"/>
        </w:rPr>
        <w:sectPr w:rsidR="009D649D" w:rsidSect="009D649D">
          <w:type w:val="continuous"/>
          <w:pgSz w:w="11907" w:h="16839" w:code="9"/>
          <w:pgMar w:top="1134" w:right="1134" w:bottom="1134" w:left="1418" w:header="567" w:footer="720" w:gutter="0"/>
          <w:cols w:space="284"/>
          <w:docGrid w:linePitch="360"/>
        </w:sectPr>
      </w:pPr>
    </w:p>
    <w:p w14:paraId="6802F3D3" w14:textId="3403A59D" w:rsidR="00CB654D" w:rsidRDefault="00CB654D" w:rsidP="00CB654D">
      <w:pPr>
        <w:pStyle w:val="Heading2"/>
      </w:pPr>
      <w:r>
        <w:t xml:space="preserve">2.1. </w:t>
      </w:r>
      <w:r w:rsidR="003E7337" w:rsidRPr="003E7337">
        <w:t>Writing Title, Name</w:t>
      </w:r>
      <w:r w:rsidR="008C5861">
        <w:t>,</w:t>
      </w:r>
      <w:r w:rsidR="003E7337" w:rsidRPr="003E7337">
        <w:t xml:space="preserve"> and Address of Author</w:t>
      </w:r>
    </w:p>
    <w:p w14:paraId="0C8C6B77" w14:textId="62B627CE" w:rsidR="008C5861" w:rsidRDefault="008C5861" w:rsidP="008C5861">
      <w:pPr>
        <w:ind w:firstLine="284"/>
        <w:jc w:val="both"/>
      </w:pPr>
      <w:r>
        <w:t>For writing the author's name (without an academic degree) and the address of the author's affiliation it is written in the middle on the first page below the article title. The distance between the lines between the title and the author's name is 2 spaces, while the distance between the address of the author's affiliation and the author's name is 1 space. Keywords must be written below the abstract text for each language, arranged alphabetically</w:t>
      </w:r>
      <w:r>
        <w:t>,</w:t>
      </w:r>
      <w:r>
        <w:t xml:space="preserve"> and separated by semicolons with a word count of 5 words. For articles written in Indonesian, write the translation of the title in English at the beginning of the abstract in English (see example above).</w:t>
      </w:r>
    </w:p>
    <w:p w14:paraId="3B4D39BC" w14:textId="1A96500C" w:rsidR="0059324E" w:rsidRDefault="008C5861" w:rsidP="008C5861">
      <w:pPr>
        <w:ind w:firstLine="284"/>
        <w:jc w:val="both"/>
      </w:pPr>
      <w:r>
        <w:t xml:space="preserve">The </w:t>
      </w:r>
      <w:r>
        <w:t>article's tit</w:t>
      </w:r>
      <w:r>
        <w:t xml:space="preserve">le must be written briefly and clearly and </w:t>
      </w:r>
      <w:r w:rsidR="00EA5ACB">
        <w:t>indicate</w:t>
      </w:r>
      <w:r>
        <w:t xml:space="preserve"> the problem to be raised, not allowing for various interpretations, written in capital letters at the beginning of each word symmetrically. The </w:t>
      </w:r>
      <w:r w:rsidR="00EA5ACB">
        <w:t>article's tit</w:t>
      </w:r>
      <w:r>
        <w:t>le must not contain abbreviations that are not commonly used. State the main idea of the new article first, followed by other explanations.</w:t>
      </w:r>
    </w:p>
    <w:p w14:paraId="1CACC089" w14:textId="2C2332B2" w:rsidR="000A254F" w:rsidRDefault="00EA5ACB" w:rsidP="000A254F">
      <w:pPr>
        <w:ind w:firstLine="284"/>
        <w:jc w:val="both"/>
      </w:pPr>
      <w:r w:rsidRPr="00EA5ACB">
        <w:t>Responsible author</w:t>
      </w:r>
      <w:r w:rsidR="00FD77EB">
        <w:t>, correspondence author,</w:t>
      </w:r>
      <w:r w:rsidRPr="00EA5ACB">
        <w:t xml:space="preserve"> or corresponding author must be marked with a superscript asterisk “ * ”. </w:t>
      </w:r>
      <w:r w:rsidR="00BB676D">
        <w:t>You must write the correspondence email address in the left column of the first page/abstract</w:t>
      </w:r>
      <w:r w:rsidRPr="00EA5ACB">
        <w:t xml:space="preserve">. Communications regarding article revisions and final decisions will only be communicated via the Corresponding Author's email. If there </w:t>
      </w:r>
      <w:r w:rsidR="00BB676D">
        <w:t>is</w:t>
      </w:r>
      <w:r w:rsidRPr="00EA5ACB">
        <w:t xml:space="preserve"> more than one author, write the </w:t>
      </w:r>
      <w:r w:rsidR="00BB676D">
        <w:t>authors' name</w:t>
      </w:r>
      <w:r w:rsidRPr="00EA5ACB">
        <w:t>s separated by a comma (,). If the author's name consists of two or more words, the first word of the author (first name) should not be abbreviated. If the author's name consists of only one word, write the real name in one word</w:t>
      </w:r>
      <w:r w:rsidR="00F46C26">
        <w:t>. H</w:t>
      </w:r>
      <w:r w:rsidRPr="00EA5ACB">
        <w:t>owever</w:t>
      </w:r>
      <w:r w:rsidR="00BB676D">
        <w:t>,</w:t>
      </w:r>
      <w:r w:rsidRPr="00EA5ACB">
        <w:t xml:space="preserve"> in the online version (HTML)</w:t>
      </w:r>
      <w:r w:rsidR="00BB676D">
        <w:t>,</w:t>
      </w:r>
      <w:r w:rsidRPr="00EA5ACB">
        <w:t xml:space="preserve"> it will be </w:t>
      </w:r>
      <w:r w:rsidRPr="00EA5ACB">
        <w:t xml:space="preserve">written in two words containing the same name (repeat) for metadata indexation purposes. If the authors come from different affiliations, the author's name and affiliation are connected by a superscript number “ </w:t>
      </w:r>
      <w:r w:rsidRPr="00EA5ACB">
        <w:rPr>
          <w:vertAlign w:val="superscript"/>
        </w:rPr>
        <w:t>1</w:t>
      </w:r>
      <w:r w:rsidRPr="00EA5ACB">
        <w:t xml:space="preserve"> ”, as in the example above.</w:t>
      </w:r>
    </w:p>
    <w:p w14:paraId="2A62F614" w14:textId="77777777" w:rsidR="000A254F" w:rsidRDefault="000A254F" w:rsidP="000A254F">
      <w:pPr>
        <w:ind w:firstLine="284"/>
        <w:jc w:val="both"/>
      </w:pPr>
    </w:p>
    <w:p w14:paraId="31871A7C" w14:textId="2F02FFC7" w:rsidR="000A254F" w:rsidRDefault="000A254F" w:rsidP="000A254F">
      <w:pPr>
        <w:pStyle w:val="Heading2"/>
      </w:pPr>
      <w:r>
        <w:t xml:space="preserve">2.2 </w:t>
      </w:r>
      <w:r w:rsidR="004C3671" w:rsidRPr="004C3671">
        <w:t>General Instructions for Writing Manuscripts</w:t>
      </w:r>
    </w:p>
    <w:p w14:paraId="14C01BC4" w14:textId="6FE9091E" w:rsidR="004C3671" w:rsidRDefault="004C3671" w:rsidP="004C3671">
      <w:pPr>
        <w:ind w:firstLine="284"/>
        <w:jc w:val="both"/>
      </w:pPr>
      <w:r>
        <w:t>Article manuscripts that meet the JGRS writing guidelines (in MS Word format, use this article template) must be submitted online using the online system at the Open Journal System portal (</w:t>
      </w:r>
      <w:hyperlink r:id="rId20" w:history="1">
        <w:r w:rsidRPr="00755FE9">
          <w:rPr>
            <w:rStyle w:val="Hyperlink"/>
          </w:rPr>
          <w:t>https://jgrs.eng.unila.ac.id/index.php/geo</w:t>
        </w:r>
      </w:hyperlink>
      <w:r>
        <w:t>) by registering as an Author in the "Register" section first. Article manuscripts that do not comply with the JGRS writing guidelines will be returned to the author before proceeding with the review process.</w:t>
      </w:r>
    </w:p>
    <w:p w14:paraId="23C0BDD7" w14:textId="74211574" w:rsidR="00DC0D3E" w:rsidRDefault="004C3671" w:rsidP="004C3671">
      <w:pPr>
        <w:ind w:firstLine="284"/>
        <w:jc w:val="both"/>
      </w:pPr>
      <w:r>
        <w:t xml:space="preserve">The manuscript of the article written must contain the following components in the scientific article (subheadings in order), namely: (a) Title of Article, (b) Name of Author (without title), (c) Address of Author Affiliation, (d) Abstract and Keywords, (e) Introduction, (f) Materials and Methods, (g) Results and Discussion, (h) Conclusions, (i) Acknowledgments, and (j) Bibliography. Writing subtitles in the </w:t>
      </w:r>
      <w:r>
        <w:t>article's contents</w:t>
      </w:r>
      <w:r>
        <w:t xml:space="preserve"> (Introduction, Materials and Methods, Results and Discussion, Conclusions) must be numbered sequentially in Arabic numeral format starting from number one. Subtitles are written in bold with the Capital Case format and aligned to the left without underlining. Sub-titles are written in bold with the Title Case format and aligned to the left and use the second</w:t>
      </w:r>
      <w:r w:rsidR="00F46C26">
        <w:t>-</w:t>
      </w:r>
      <w:r>
        <w:t>level numbering format.</w:t>
      </w:r>
    </w:p>
    <w:p w14:paraId="64CBF37C" w14:textId="28EB560B" w:rsidR="00387E09" w:rsidRDefault="00387E09" w:rsidP="00387E09">
      <w:pPr>
        <w:ind w:firstLine="284"/>
        <w:jc w:val="both"/>
      </w:pPr>
      <w:r>
        <w:lastRenderedPageBreak/>
        <w:t>Manuscripts can be written in Indonesian or English with a minimum number of pages of 7 pages and a maximum of 15 pages</w:t>
      </w:r>
      <w:r>
        <w:t>,</w:t>
      </w:r>
      <w:r>
        <w:t xml:space="preserve"> including figures and tables. Manuscripts must be written according to the template of this article in print-ready form (Camera Ready). Manuscripts must be written in Arial font with a font size of 10pt (except for article titles, author names</w:t>
      </w:r>
      <w:r>
        <w:t>,</w:t>
      </w:r>
      <w:r>
        <w:t xml:space="preserve"> and abstract titles), </w:t>
      </w:r>
      <w:r>
        <w:t>single</w:t>
      </w:r>
      <w:r>
        <w:t xml:space="preserve"> space, and in two-column format (except for the article title, author name</w:t>
      </w:r>
      <w:r w:rsidR="00086F78">
        <w:t>,</w:t>
      </w:r>
      <w:r>
        <w:t xml:space="preserve"> and abstract and large images). The distance between the columns is 5 mm.</w:t>
      </w:r>
    </w:p>
    <w:p w14:paraId="4AC3F6BD" w14:textId="6F028A5C" w:rsidR="00CA3EDA" w:rsidRDefault="00387E09" w:rsidP="00387E09">
      <w:pPr>
        <w:ind w:firstLine="284"/>
        <w:jc w:val="both"/>
      </w:pPr>
      <w:r>
        <w:t>Foreign words or terms are used in italics. It is better to avoid using foreign terms for articles in Indonesian. New paragraphs start 10 mm from the left border, w</w:t>
      </w:r>
      <w:r w:rsidR="00E246F7">
        <w:t>ith</w:t>
      </w:r>
      <w:r>
        <w:t xml:space="preserve"> no space between paragraphs. All numbers are written in Arabic numerals, except at the beginning of the sentence. Tables and Figures are placed in the text group after the table or figure is referred to. Each image must be given the title of the image below the image and numbered in Arabic numerals followed by the image title. Each table must be given a table title and numbered in Arabic numerals above the table</w:t>
      </w:r>
      <w:r w:rsidR="00E246F7">
        <w:t>,</w:t>
      </w:r>
      <w:r>
        <w:t xml:space="preserve"> followed by the table title. Images must be guaranteed to print clearly (font size, resolution</w:t>
      </w:r>
      <w:r w:rsidR="00E246F7">
        <w:t>,</w:t>
      </w:r>
      <w:r>
        <w:t xml:space="preserve"> and line size must be sure to print clearly). Figures</w:t>
      </w:r>
      <w:r w:rsidR="00E246F7">
        <w:t>,</w:t>
      </w:r>
      <w:r>
        <w:t xml:space="preserve"> tables</w:t>
      </w:r>
      <w:r w:rsidR="00E246F7">
        <w:t>,</w:t>
      </w:r>
      <w:r>
        <w:t xml:space="preserve"> and diagrams/schematics should be placed according to columns between groups of text or</w:t>
      </w:r>
      <w:r w:rsidR="00E246F7">
        <w:t>,</w:t>
      </w:r>
      <w:r>
        <w:t xml:space="preserve"> if they are too large</w:t>
      </w:r>
      <w:r w:rsidR="00E246F7">
        <w:t>,</w:t>
      </w:r>
      <w:r>
        <w:t xml:space="preserve"> placed in the middle of the page. Tables may not contain vertical lines, while horizontal lines are allowed only in column headings and </w:t>
      </w:r>
      <w:r w:rsidR="00E246F7">
        <w:t>the table's last row</w:t>
      </w:r>
      <w:r>
        <w:t xml:space="preserve"> (Table 1).</w:t>
      </w:r>
    </w:p>
    <w:p w14:paraId="5ADD9EE1" w14:textId="77777777" w:rsidR="003B2212" w:rsidRDefault="003B2212" w:rsidP="003B2212">
      <w:pPr>
        <w:jc w:val="both"/>
      </w:pPr>
    </w:p>
    <w:p w14:paraId="0324FF00" w14:textId="31F10FC0" w:rsidR="00F43187" w:rsidRDefault="003B2212" w:rsidP="00F43187">
      <w:pPr>
        <w:jc w:val="both"/>
      </w:pPr>
      <w:r w:rsidRPr="003B2212">
        <w:rPr>
          <w:b/>
          <w:bCs/>
        </w:rPr>
        <w:t>Tab</w:t>
      </w:r>
      <w:r w:rsidR="00614E6D">
        <w:rPr>
          <w:b/>
          <w:bCs/>
        </w:rPr>
        <w:t>le</w:t>
      </w:r>
      <w:r w:rsidRPr="003B2212">
        <w:rPr>
          <w:b/>
          <w:bCs/>
        </w:rPr>
        <w:t xml:space="preserve"> 1.</w:t>
      </w:r>
      <w:r w:rsidR="00614E6D">
        <w:rPr>
          <w:b/>
          <w:bCs/>
        </w:rPr>
        <w:t xml:space="preserve"> </w:t>
      </w:r>
      <w:r w:rsidR="00614E6D" w:rsidRPr="00614E6D">
        <w:t>Acquisition parameters in the field</w:t>
      </w:r>
    </w:p>
    <w:tbl>
      <w:tblPr>
        <w:tblW w:w="4536" w:type="dxa"/>
        <w:tblBorders>
          <w:top w:val="single" w:sz="8" w:space="0" w:color="000000"/>
          <w:bottom w:val="single" w:sz="8" w:space="0" w:color="000000"/>
          <w:insideH w:val="single" w:sz="8" w:space="0" w:color="000000"/>
        </w:tblBorders>
        <w:tblCellMar>
          <w:left w:w="0" w:type="dxa"/>
          <w:right w:w="0" w:type="dxa"/>
        </w:tblCellMar>
        <w:tblLook w:val="0420" w:firstRow="1" w:lastRow="0" w:firstColumn="0" w:lastColumn="0" w:noHBand="0" w:noVBand="1"/>
      </w:tblPr>
      <w:tblGrid>
        <w:gridCol w:w="2410"/>
        <w:gridCol w:w="2126"/>
      </w:tblGrid>
      <w:tr w:rsidR="00F43187" w:rsidRPr="00833D57" w14:paraId="0CD0CC92" w14:textId="77777777" w:rsidTr="00CE572A">
        <w:trPr>
          <w:trHeight w:val="20"/>
        </w:trPr>
        <w:tc>
          <w:tcPr>
            <w:tcW w:w="2410" w:type="dxa"/>
            <w:tcBorders>
              <w:bottom w:val="single" w:sz="8" w:space="0" w:color="000000"/>
            </w:tcBorders>
            <w:shd w:val="clear" w:color="auto" w:fill="auto"/>
            <w:tcMar>
              <w:top w:w="72" w:type="dxa"/>
              <w:left w:w="144" w:type="dxa"/>
              <w:bottom w:w="72" w:type="dxa"/>
              <w:right w:w="144" w:type="dxa"/>
            </w:tcMar>
            <w:vAlign w:val="center"/>
            <w:hideMark/>
          </w:tcPr>
          <w:p w14:paraId="3D574DA2" w14:textId="1F4C63BA" w:rsidR="00F43187" w:rsidRPr="00833D57" w:rsidRDefault="00614E6D" w:rsidP="00CE572A">
            <w:pPr>
              <w:pStyle w:val="Body"/>
              <w:ind w:firstLine="0"/>
              <w:jc w:val="center"/>
              <w:rPr>
                <w:rFonts w:ascii="Arial" w:hAnsi="Arial" w:cs="Arial"/>
                <w:b/>
              </w:rPr>
            </w:pPr>
            <w:r>
              <w:rPr>
                <w:rFonts w:ascii="Arial" w:hAnsi="Arial" w:cs="Arial"/>
                <w:b/>
              </w:rPr>
              <w:t>Measure</w:t>
            </w:r>
            <w:r w:rsidR="005425BF">
              <w:rPr>
                <w:rFonts w:ascii="Arial" w:hAnsi="Arial" w:cs="Arial"/>
                <w:b/>
              </w:rPr>
              <w:t>ment Parameters</w:t>
            </w:r>
          </w:p>
        </w:tc>
        <w:tc>
          <w:tcPr>
            <w:tcW w:w="2126" w:type="dxa"/>
            <w:tcBorders>
              <w:bottom w:val="single" w:sz="8" w:space="0" w:color="000000"/>
            </w:tcBorders>
            <w:shd w:val="clear" w:color="auto" w:fill="auto"/>
            <w:tcMar>
              <w:top w:w="72" w:type="dxa"/>
              <w:left w:w="144" w:type="dxa"/>
              <w:bottom w:w="72" w:type="dxa"/>
              <w:right w:w="144" w:type="dxa"/>
            </w:tcMar>
            <w:vAlign w:val="center"/>
            <w:hideMark/>
          </w:tcPr>
          <w:p w14:paraId="594A2741" w14:textId="6116A333" w:rsidR="00F43187" w:rsidRPr="00833D57" w:rsidRDefault="005425BF" w:rsidP="00CE572A">
            <w:pPr>
              <w:pStyle w:val="Body"/>
              <w:ind w:left="423" w:firstLine="0"/>
              <w:jc w:val="center"/>
              <w:rPr>
                <w:rFonts w:ascii="Arial" w:hAnsi="Arial" w:cs="Arial"/>
                <w:b/>
              </w:rPr>
            </w:pPr>
            <w:r>
              <w:rPr>
                <w:rFonts w:ascii="Arial" w:hAnsi="Arial" w:cs="Arial"/>
                <w:b/>
              </w:rPr>
              <w:t>Value</w:t>
            </w:r>
          </w:p>
        </w:tc>
      </w:tr>
      <w:tr w:rsidR="00F43187" w:rsidRPr="00833D57" w14:paraId="2105F33E" w14:textId="77777777" w:rsidTr="00CE572A">
        <w:trPr>
          <w:trHeight w:val="20"/>
        </w:trPr>
        <w:tc>
          <w:tcPr>
            <w:tcW w:w="2410" w:type="dxa"/>
            <w:tcBorders>
              <w:bottom w:val="nil"/>
            </w:tcBorders>
            <w:shd w:val="clear" w:color="auto" w:fill="auto"/>
            <w:tcMar>
              <w:top w:w="72" w:type="dxa"/>
              <w:left w:w="144" w:type="dxa"/>
              <w:bottom w:w="72" w:type="dxa"/>
              <w:right w:w="144" w:type="dxa"/>
            </w:tcMar>
            <w:hideMark/>
          </w:tcPr>
          <w:p w14:paraId="4144BC5B" w14:textId="49DD489B" w:rsidR="00F43187" w:rsidRPr="00833D57" w:rsidRDefault="005425BF" w:rsidP="00CE572A">
            <w:pPr>
              <w:pStyle w:val="Body"/>
              <w:ind w:firstLine="0"/>
              <w:jc w:val="left"/>
              <w:rPr>
                <w:rFonts w:ascii="Arial" w:hAnsi="Arial" w:cs="Arial"/>
              </w:rPr>
            </w:pPr>
            <w:r>
              <w:rPr>
                <w:rFonts w:ascii="Arial" w:hAnsi="Arial" w:cs="Arial"/>
              </w:rPr>
              <w:t>Time</w:t>
            </w:r>
          </w:p>
        </w:tc>
        <w:tc>
          <w:tcPr>
            <w:tcW w:w="2126" w:type="dxa"/>
            <w:tcBorders>
              <w:bottom w:val="nil"/>
            </w:tcBorders>
            <w:shd w:val="clear" w:color="auto" w:fill="auto"/>
            <w:tcMar>
              <w:top w:w="72" w:type="dxa"/>
              <w:left w:w="144" w:type="dxa"/>
              <w:bottom w:w="72" w:type="dxa"/>
              <w:right w:w="144" w:type="dxa"/>
            </w:tcMar>
            <w:hideMark/>
          </w:tcPr>
          <w:p w14:paraId="04FAB532" w14:textId="5C6E8870" w:rsidR="00F43187" w:rsidRPr="00833D57" w:rsidRDefault="00F43187" w:rsidP="00CE572A">
            <w:pPr>
              <w:pStyle w:val="Body"/>
              <w:ind w:left="-4" w:firstLine="0"/>
              <w:jc w:val="center"/>
              <w:rPr>
                <w:rFonts w:ascii="Arial" w:hAnsi="Arial" w:cs="Arial"/>
              </w:rPr>
            </w:pPr>
            <w:r w:rsidRPr="00833D57">
              <w:rPr>
                <w:rFonts w:ascii="Arial" w:hAnsi="Arial" w:cs="Arial"/>
              </w:rPr>
              <w:t>± 30 m</w:t>
            </w:r>
            <w:r w:rsidR="00CE572A">
              <w:rPr>
                <w:rFonts w:ascii="Arial" w:hAnsi="Arial" w:cs="Arial"/>
              </w:rPr>
              <w:t>inutes</w:t>
            </w:r>
          </w:p>
        </w:tc>
      </w:tr>
      <w:tr w:rsidR="00F43187" w:rsidRPr="00833D57" w14:paraId="68699A80" w14:textId="77777777" w:rsidTr="00CE572A">
        <w:trPr>
          <w:trHeight w:val="20"/>
        </w:trPr>
        <w:tc>
          <w:tcPr>
            <w:tcW w:w="2410" w:type="dxa"/>
            <w:tcBorders>
              <w:top w:val="nil"/>
              <w:bottom w:val="nil"/>
            </w:tcBorders>
            <w:shd w:val="clear" w:color="auto" w:fill="auto"/>
            <w:tcMar>
              <w:top w:w="72" w:type="dxa"/>
              <w:left w:w="144" w:type="dxa"/>
              <w:bottom w:w="72" w:type="dxa"/>
              <w:right w:w="144" w:type="dxa"/>
            </w:tcMar>
            <w:hideMark/>
          </w:tcPr>
          <w:p w14:paraId="7C514E36" w14:textId="77777777" w:rsidR="00F43187" w:rsidRPr="00833D57" w:rsidRDefault="00F43187" w:rsidP="00CE572A">
            <w:pPr>
              <w:pStyle w:val="Body"/>
              <w:ind w:firstLine="0"/>
              <w:jc w:val="left"/>
              <w:rPr>
                <w:rFonts w:ascii="Arial" w:hAnsi="Arial" w:cs="Arial"/>
                <w:i/>
              </w:rPr>
            </w:pPr>
            <w:r w:rsidRPr="00833D57">
              <w:rPr>
                <w:rFonts w:ascii="Arial" w:hAnsi="Arial" w:cs="Arial"/>
                <w:i/>
              </w:rPr>
              <w:t>Sampling Rate</w:t>
            </w:r>
          </w:p>
        </w:tc>
        <w:tc>
          <w:tcPr>
            <w:tcW w:w="2126" w:type="dxa"/>
            <w:tcBorders>
              <w:top w:val="nil"/>
              <w:bottom w:val="nil"/>
            </w:tcBorders>
            <w:shd w:val="clear" w:color="auto" w:fill="auto"/>
            <w:tcMar>
              <w:top w:w="72" w:type="dxa"/>
              <w:left w:w="144" w:type="dxa"/>
              <w:bottom w:w="72" w:type="dxa"/>
              <w:right w:w="144" w:type="dxa"/>
            </w:tcMar>
            <w:hideMark/>
          </w:tcPr>
          <w:p w14:paraId="563272C4" w14:textId="77777777" w:rsidR="00F43187" w:rsidRPr="00833D57" w:rsidRDefault="00F43187" w:rsidP="00CE572A">
            <w:pPr>
              <w:pStyle w:val="Body"/>
              <w:ind w:left="-4" w:firstLine="0"/>
              <w:jc w:val="center"/>
              <w:rPr>
                <w:rFonts w:ascii="Arial" w:hAnsi="Arial" w:cs="Arial"/>
              </w:rPr>
            </w:pPr>
            <w:r w:rsidRPr="00833D57">
              <w:rPr>
                <w:rFonts w:ascii="Arial" w:hAnsi="Arial" w:cs="Arial"/>
              </w:rPr>
              <w:t>500 SPS</w:t>
            </w:r>
          </w:p>
        </w:tc>
      </w:tr>
      <w:tr w:rsidR="00F43187" w:rsidRPr="00833D57" w14:paraId="55B34BB3" w14:textId="77777777" w:rsidTr="00CE572A">
        <w:trPr>
          <w:trHeight w:val="20"/>
        </w:trPr>
        <w:tc>
          <w:tcPr>
            <w:tcW w:w="2410" w:type="dxa"/>
            <w:tcBorders>
              <w:top w:val="nil"/>
              <w:bottom w:val="nil"/>
            </w:tcBorders>
            <w:shd w:val="clear" w:color="auto" w:fill="auto"/>
            <w:tcMar>
              <w:top w:w="72" w:type="dxa"/>
              <w:left w:w="144" w:type="dxa"/>
              <w:bottom w:w="72" w:type="dxa"/>
              <w:right w:w="144" w:type="dxa"/>
            </w:tcMar>
            <w:hideMark/>
          </w:tcPr>
          <w:p w14:paraId="3658FD69" w14:textId="77777777" w:rsidR="00F43187" w:rsidRPr="00833D57" w:rsidRDefault="00F43187" w:rsidP="00CE572A">
            <w:pPr>
              <w:pStyle w:val="Body"/>
              <w:ind w:firstLine="0"/>
              <w:jc w:val="left"/>
              <w:rPr>
                <w:rFonts w:ascii="Arial" w:hAnsi="Arial" w:cs="Arial"/>
                <w:i/>
              </w:rPr>
            </w:pPr>
            <w:r w:rsidRPr="00833D57">
              <w:rPr>
                <w:rFonts w:ascii="Arial" w:hAnsi="Arial" w:cs="Arial"/>
                <w:i/>
              </w:rPr>
              <w:t>Sampling Period</w:t>
            </w:r>
          </w:p>
        </w:tc>
        <w:tc>
          <w:tcPr>
            <w:tcW w:w="2126" w:type="dxa"/>
            <w:tcBorders>
              <w:top w:val="nil"/>
              <w:bottom w:val="nil"/>
            </w:tcBorders>
            <w:shd w:val="clear" w:color="auto" w:fill="auto"/>
            <w:tcMar>
              <w:top w:w="72" w:type="dxa"/>
              <w:left w:w="144" w:type="dxa"/>
              <w:bottom w:w="72" w:type="dxa"/>
              <w:right w:w="144" w:type="dxa"/>
            </w:tcMar>
            <w:hideMark/>
          </w:tcPr>
          <w:p w14:paraId="0EFE87FA" w14:textId="0BB26037" w:rsidR="00F43187" w:rsidRPr="00833D57" w:rsidRDefault="00F43187" w:rsidP="00CE572A">
            <w:pPr>
              <w:pStyle w:val="Body"/>
              <w:ind w:left="-4" w:firstLine="0"/>
              <w:jc w:val="center"/>
              <w:rPr>
                <w:rFonts w:ascii="Arial" w:hAnsi="Arial" w:cs="Arial"/>
              </w:rPr>
            </w:pPr>
            <w:r w:rsidRPr="00833D57">
              <w:rPr>
                <w:rFonts w:ascii="Arial" w:hAnsi="Arial" w:cs="Arial"/>
              </w:rPr>
              <w:t xml:space="preserve">0.002 </w:t>
            </w:r>
            <w:r w:rsidR="00CE572A">
              <w:rPr>
                <w:rFonts w:ascii="Arial" w:hAnsi="Arial" w:cs="Arial"/>
              </w:rPr>
              <w:t>seconds</w:t>
            </w:r>
          </w:p>
        </w:tc>
      </w:tr>
      <w:tr w:rsidR="00F43187" w:rsidRPr="00833D57" w14:paraId="5C1652B6" w14:textId="77777777" w:rsidTr="00CE572A">
        <w:trPr>
          <w:trHeight w:val="20"/>
        </w:trPr>
        <w:tc>
          <w:tcPr>
            <w:tcW w:w="2410" w:type="dxa"/>
            <w:tcBorders>
              <w:top w:val="nil"/>
              <w:bottom w:val="nil"/>
            </w:tcBorders>
            <w:shd w:val="clear" w:color="auto" w:fill="auto"/>
            <w:tcMar>
              <w:top w:w="72" w:type="dxa"/>
              <w:left w:w="144" w:type="dxa"/>
              <w:bottom w:w="72" w:type="dxa"/>
              <w:right w:w="144" w:type="dxa"/>
            </w:tcMar>
            <w:hideMark/>
          </w:tcPr>
          <w:p w14:paraId="5A6BEF9D" w14:textId="4731A3A6" w:rsidR="00F43187" w:rsidRPr="00833D57" w:rsidRDefault="00CE572A" w:rsidP="00CE572A">
            <w:pPr>
              <w:pStyle w:val="Body"/>
              <w:ind w:firstLine="0"/>
              <w:jc w:val="left"/>
              <w:rPr>
                <w:rFonts w:ascii="Arial" w:hAnsi="Arial" w:cs="Arial"/>
              </w:rPr>
            </w:pPr>
            <w:r w:rsidRPr="00CE572A">
              <w:rPr>
                <w:rFonts w:ascii="Arial" w:hAnsi="Arial" w:cs="Arial"/>
              </w:rPr>
              <w:t xml:space="preserve">Number of </w:t>
            </w:r>
            <w:r w:rsidR="00F43187" w:rsidRPr="00833D57">
              <w:rPr>
                <w:rFonts w:ascii="Arial" w:hAnsi="Arial" w:cs="Arial"/>
              </w:rPr>
              <w:t>Axis</w:t>
            </w:r>
          </w:p>
        </w:tc>
        <w:tc>
          <w:tcPr>
            <w:tcW w:w="2126" w:type="dxa"/>
            <w:tcBorders>
              <w:top w:val="nil"/>
              <w:bottom w:val="nil"/>
            </w:tcBorders>
            <w:shd w:val="clear" w:color="auto" w:fill="auto"/>
            <w:tcMar>
              <w:top w:w="72" w:type="dxa"/>
              <w:left w:w="144" w:type="dxa"/>
              <w:bottom w:w="72" w:type="dxa"/>
              <w:right w:w="144" w:type="dxa"/>
            </w:tcMar>
            <w:hideMark/>
          </w:tcPr>
          <w:p w14:paraId="79D42EDA" w14:textId="77777777" w:rsidR="00F43187" w:rsidRPr="00833D57" w:rsidRDefault="00F43187" w:rsidP="00CE572A">
            <w:pPr>
              <w:pStyle w:val="Body"/>
              <w:ind w:left="-4" w:firstLine="0"/>
              <w:jc w:val="center"/>
              <w:rPr>
                <w:rFonts w:ascii="Arial" w:hAnsi="Arial" w:cs="Arial"/>
              </w:rPr>
            </w:pPr>
            <w:r w:rsidRPr="00833D57">
              <w:rPr>
                <w:rFonts w:ascii="Arial" w:hAnsi="Arial" w:cs="Arial"/>
              </w:rPr>
              <w:t>3</w:t>
            </w:r>
          </w:p>
        </w:tc>
      </w:tr>
      <w:tr w:rsidR="00F43187" w:rsidRPr="00833D57" w14:paraId="159FD4BE" w14:textId="77777777" w:rsidTr="00CE572A">
        <w:trPr>
          <w:trHeight w:val="20"/>
        </w:trPr>
        <w:tc>
          <w:tcPr>
            <w:tcW w:w="2410" w:type="dxa"/>
            <w:tcBorders>
              <w:top w:val="nil"/>
            </w:tcBorders>
            <w:shd w:val="clear" w:color="auto" w:fill="auto"/>
            <w:tcMar>
              <w:top w:w="72" w:type="dxa"/>
              <w:left w:w="144" w:type="dxa"/>
              <w:bottom w:w="72" w:type="dxa"/>
              <w:right w:w="144" w:type="dxa"/>
            </w:tcMar>
            <w:hideMark/>
          </w:tcPr>
          <w:p w14:paraId="5F6FF126" w14:textId="6EBD2309" w:rsidR="00F43187" w:rsidRPr="00833D57" w:rsidRDefault="00CE572A" w:rsidP="00CE572A">
            <w:pPr>
              <w:pStyle w:val="Body"/>
              <w:ind w:firstLine="0"/>
              <w:jc w:val="left"/>
              <w:rPr>
                <w:rFonts w:ascii="Arial" w:hAnsi="Arial" w:cs="Arial"/>
              </w:rPr>
            </w:pPr>
            <w:r w:rsidRPr="00CE572A">
              <w:rPr>
                <w:rFonts w:ascii="Arial" w:hAnsi="Arial" w:cs="Arial"/>
              </w:rPr>
              <w:t>Number of Measurement Points</w:t>
            </w:r>
          </w:p>
        </w:tc>
        <w:tc>
          <w:tcPr>
            <w:tcW w:w="2126" w:type="dxa"/>
            <w:tcBorders>
              <w:top w:val="nil"/>
            </w:tcBorders>
            <w:shd w:val="clear" w:color="auto" w:fill="auto"/>
            <w:tcMar>
              <w:top w:w="72" w:type="dxa"/>
              <w:left w:w="144" w:type="dxa"/>
              <w:bottom w:w="72" w:type="dxa"/>
              <w:right w:w="144" w:type="dxa"/>
            </w:tcMar>
            <w:hideMark/>
          </w:tcPr>
          <w:p w14:paraId="64832142" w14:textId="77777777" w:rsidR="00F43187" w:rsidRPr="00833D57" w:rsidRDefault="00F43187" w:rsidP="00CE572A">
            <w:pPr>
              <w:pStyle w:val="Body"/>
              <w:ind w:left="-4" w:firstLine="0"/>
              <w:jc w:val="center"/>
              <w:rPr>
                <w:rFonts w:ascii="Arial" w:hAnsi="Arial" w:cs="Arial"/>
              </w:rPr>
            </w:pPr>
            <w:r w:rsidRPr="00833D57">
              <w:rPr>
                <w:rFonts w:ascii="Arial" w:hAnsi="Arial" w:cs="Arial"/>
              </w:rPr>
              <w:t>30</w:t>
            </w:r>
          </w:p>
        </w:tc>
      </w:tr>
    </w:tbl>
    <w:p w14:paraId="2FB148DA" w14:textId="77777777" w:rsidR="00724DA9" w:rsidRDefault="00724DA9" w:rsidP="00DA3EF8">
      <w:pPr>
        <w:jc w:val="both"/>
      </w:pPr>
    </w:p>
    <w:p w14:paraId="3F44A624" w14:textId="37600EE5" w:rsidR="00DA3EF8" w:rsidRDefault="00DA3EF8" w:rsidP="00DA3EF8">
      <w:pPr>
        <w:pStyle w:val="Heading1"/>
      </w:pPr>
      <w:r>
        <w:t xml:space="preserve">3. </w:t>
      </w:r>
      <w:r w:rsidR="00CE572A">
        <w:t>Results and Discussions</w:t>
      </w:r>
    </w:p>
    <w:p w14:paraId="259C498E" w14:textId="03DABD94" w:rsidR="007A70B8" w:rsidRDefault="007A70B8" w:rsidP="007A70B8">
      <w:pPr>
        <w:ind w:firstLine="284"/>
        <w:jc w:val="both"/>
      </w:pPr>
      <w:r>
        <w:t>Results and discussion contain the results of research findings and scientific discussion. Write down scientific findings (scientific findings) obtained from the res</w:t>
      </w:r>
      <w:r>
        <w:t>earch results that have</w:t>
      </w:r>
      <w:r>
        <w:t xml:space="preserve"> been done but must be supported by adequate data. Conclusions describe the answers to the hypotheses and/or research objectives or scientific findings obtained. The conclusion does not contain a repetition of the results and discussion but rather a summary of the findings as expected in the objectives or hypotheses and the things that will be done related to the next idea of the research.</w:t>
      </w:r>
    </w:p>
    <w:p w14:paraId="5BE8FFFF" w14:textId="28D73C12" w:rsidR="000A254F" w:rsidRDefault="007A70B8" w:rsidP="007A70B8">
      <w:pPr>
        <w:ind w:firstLine="284"/>
        <w:jc w:val="both"/>
      </w:pPr>
      <w:r>
        <w:t xml:space="preserve">All references referred to in the text of the article must be listed in the Bibliography section. </w:t>
      </w:r>
      <w:r>
        <w:t>The b</w:t>
      </w:r>
      <w:r>
        <w:t xml:space="preserve">ibliography must contain reference libraries originating from primary sources (scientific journals </w:t>
      </w:r>
      <w:r>
        <w:t xml:space="preserve">and a minimum of 80% of the entire bibliography) published in the last 10 (ten) years. Each article contains at least 12 (twelve) references. Writing a reference system in the text of the article and writing </w:t>
      </w:r>
      <w:r w:rsidRPr="00E01DAC">
        <w:rPr>
          <w:b/>
          <w:bCs/>
        </w:rPr>
        <w:t>a</w:t>
      </w:r>
      <w:r>
        <w:t xml:space="preserve"> </w:t>
      </w:r>
      <w:r w:rsidRPr="00E01DAC">
        <w:rPr>
          <w:b/>
          <w:bCs/>
        </w:rPr>
        <w:t>bibliography must use a reference management application program such as Mendeley</w:t>
      </w:r>
      <w:r w:rsidR="003A0D6E">
        <w:t xml:space="preserve"> </w:t>
      </w:r>
      <w:r w:rsidR="003A0D6E">
        <w:fldChar w:fldCharType="begin" w:fldLock="1"/>
      </w:r>
      <w:r w:rsidR="00503EA5">
        <w:instrText>ADDIN CSL_CITATION {"citationItems":[{"id":"ITEM-1","itemData":{"DOI":"10.1002/9781118452547.ch31","ISBN":"9781118452547","abstract":"Transfer functions produce quantitative reconstructions of relative sea level from microfossil assemblages (e.g., intertidal diatoms or foraminifera). The relationship between tidal elevation and microfossil assemblages is established from field-based observations in modern environments and formalized through an appropriate numerical technique (the transfer function). Application of the empirically derived transfer function to microfossil assemblages preserved in sedimentary archives generates quantitative reconstructions of paleotidal elevation with uncertainty. The principal concepts of using transfer functions to reconstruct sea level are presented and discussed with illustrative examples.","author":[{"dropping-particle":"","family":"Kemp","given":"Andrew C.","non-dropping-particle":"","parse-names":false,"suffix":""},{"dropping-particle":"","family":"Telford","given":"Richard J.","non-dropping-particle":"","parse-names":false,"suffix":""}],"container-title":"Handbook of Sea-Level Research","id":"ITEM-1","issued":{"date-parts":[["2015"]]},"page":"470-499","publisher":"Wiley Blackwell","title":"Transfer functions","type":"chapter"},"uris":["http://www.mendeley.com/documents/?uuid=606442f1-fde4-490e-8576-5a7ecfe2e259"]}],"mendeley":{"formattedCitation":"(Kemp &amp; Telford, 2015)","plainTextFormattedCitation":"(Kemp &amp; Telford, 2015)","previouslyFormattedCitation":"(Kemp &amp; Telford, 2015)"},"properties":{"noteIndex":0},"schema":"https://github.com/citation-style-language/schema/raw/master/csl-citation.json"}</w:instrText>
      </w:r>
      <w:r w:rsidR="003A0D6E">
        <w:fldChar w:fldCharType="separate"/>
      </w:r>
      <w:r w:rsidR="00503EA5" w:rsidRPr="00503EA5">
        <w:rPr>
          <w:noProof/>
        </w:rPr>
        <w:t>(Kemp &amp; Telford, 2015)</w:t>
      </w:r>
      <w:r w:rsidR="003A0D6E">
        <w:fldChar w:fldCharType="end"/>
      </w:r>
      <w:r w:rsidR="004734FA">
        <w:t>.</w:t>
      </w:r>
    </w:p>
    <w:p w14:paraId="14B1D220" w14:textId="77777777" w:rsidR="000A254F" w:rsidRDefault="000A254F" w:rsidP="006547EC">
      <w:pPr>
        <w:jc w:val="both"/>
      </w:pPr>
    </w:p>
    <w:p w14:paraId="04D6CC1A" w14:textId="5B2CF271" w:rsidR="006547EC" w:rsidRDefault="006547EC" w:rsidP="006547EC">
      <w:pPr>
        <w:pStyle w:val="Heading2"/>
      </w:pPr>
      <w:r>
        <w:t xml:space="preserve">3.1 </w:t>
      </w:r>
      <w:r w:rsidR="000236EE" w:rsidRPr="000236EE">
        <w:t>Equation Writing Guide</w:t>
      </w:r>
    </w:p>
    <w:p w14:paraId="239D3140" w14:textId="578A41E5" w:rsidR="00B42B85" w:rsidRDefault="000236EE" w:rsidP="00B42B85">
      <w:pPr>
        <w:ind w:firstLine="284"/>
        <w:jc w:val="both"/>
      </w:pPr>
      <w:r w:rsidRPr="000236EE">
        <w:t>Each equation is written justified in the middle of the column and is numbered in brackets</w:t>
      </w:r>
      <w:r>
        <w:t>,</w:t>
      </w:r>
      <w:r w:rsidRPr="000236EE">
        <w:t xml:space="preserve"> and placed at the end of the right margin. Equations must be written using the Equation Editor in MS Word or Open Office</w:t>
      </w:r>
      <w:r w:rsidRPr="000236EE">
        <w:t xml:space="preserve"> </w:t>
      </w:r>
      <w:r w:rsidR="003A0D6E">
        <w:fldChar w:fldCharType="begin" w:fldLock="1"/>
      </w:r>
      <w:r w:rsidR="008E557F">
        <w:instrText>ADDIN CSL_CITATION {"citationItems":[{"id":"ITEM-1","itemData":{"ISBN":"0521326931","abstract":"The text, thoroughly revised from the first edition (see 76E/1273), describes the geophysical methods used in mineral and hydrocarbon exploration and engineering geology. Sections deal in turn with: gravity methods; magnetic methods; seismic methods; electrical properties of rocks and minerals; methods employing natural electrical sources; electromagnetic methods; resistivity methods; induced polarization; radioactivity method; well logging; and integrated geophysical problems. Appendices cover mathematical procedures and location determination. Each section is ended with a reference list and a subject index is included. -A.W.Hall","author":[{"dropping-particle":"","family":"Telford","given":"W. M.","non-dropping-particle":"","parse-names":false,"suffix":""},{"dropping-particle":"","family":"Geldart","given":"L. P.","non-dropping-particle":"","parse-names":false,"suffix":""},{"dropping-particle":"","family":"Sheriff","given":"R. E.","non-dropping-particle":"","parse-names":false,"suffix":""}],"container-title":"Applied geophysics. 2nd edition","id":"ITEM-1","issued":{"date-parts":[["1990"]]},"publisher":"Cambridge University Press","publisher-place":"New York, USA","title":"Applied geophysics. 2nd edition","type":"book"},"uris":["http://www.mendeley.com/documents/?uuid=20cef745-250b-41c3-97af-b0eecf492c8a"]}],"mendeley":{"formattedCitation":"(Telford dkk., 1990)","manualFormatting":"(Telford dkk., 1990)","plainTextFormattedCitation":"(Telford dkk., 1990)","previouslyFormattedCitation":"(Telford et al., 1990)"},"properties":{"noteIndex":0},"schema":"https://github.com/citation-style-language/schema/raw/master/csl-citation.json"}</w:instrText>
      </w:r>
      <w:r w:rsidR="003A0D6E">
        <w:fldChar w:fldCharType="separate"/>
      </w:r>
      <w:r w:rsidR="00B91DE2" w:rsidRPr="00B91DE2">
        <w:rPr>
          <w:noProof/>
        </w:rPr>
        <w:t xml:space="preserve">(Telford </w:t>
      </w:r>
      <w:r>
        <w:rPr>
          <w:noProof/>
        </w:rPr>
        <w:t>et al</w:t>
      </w:r>
      <w:r w:rsidR="00B91DE2" w:rsidRPr="00B91DE2">
        <w:rPr>
          <w:noProof/>
        </w:rPr>
        <w:t>., 1990)</w:t>
      </w:r>
      <w:r w:rsidR="003A0D6E">
        <w:fldChar w:fldCharType="end"/>
      </w:r>
      <w:r w:rsidR="006547EC">
        <w:t>.</w:t>
      </w:r>
    </w:p>
    <w:p w14:paraId="35B971E4" w14:textId="77777777" w:rsidR="00B42B85" w:rsidRDefault="00B42B85" w:rsidP="00B42B85">
      <w:pPr>
        <w:ind w:firstLine="284"/>
        <w:jc w:val="both"/>
      </w:pPr>
    </w:p>
    <w:p w14:paraId="37D60138" w14:textId="5898044C" w:rsidR="0058647B" w:rsidRPr="00B42B85" w:rsidRDefault="00FD77EB" w:rsidP="00B42B85">
      <w:pPr>
        <w:ind w:firstLine="284"/>
        <w:jc w:val="center"/>
      </w:pPr>
      <m:oMath>
        <m:nary>
          <m:naryPr>
            <m:chr m:val="∮"/>
            <m:limLoc m:val="undOvr"/>
            <m:subHide m:val="1"/>
            <m:supHide m:val="1"/>
            <m:ctrlPr>
              <w:rPr>
                <w:rFonts w:ascii="Cambria Math" w:eastAsia="Times New Roman" w:hAnsi="Cambria Math" w:cs="Arial"/>
                <w:i/>
                <w:sz w:val="24"/>
                <w:szCs w:val="24"/>
                <w:lang w:eastAsia="ar-SA"/>
              </w:rPr>
            </m:ctrlPr>
          </m:naryPr>
          <m:sub/>
          <m:sup/>
          <m:e>
            <m:r>
              <w:rPr>
                <w:rFonts w:ascii="Cambria Math" w:hAnsi="Cambria Math" w:cs="Arial"/>
                <w:sz w:val="24"/>
                <w:szCs w:val="28"/>
              </w:rPr>
              <m:t>B</m:t>
            </m:r>
            <m:r>
              <w:rPr>
                <w:rFonts w:ascii="Cambria Math" w:hAnsi="Cambria Math" w:cs="Arial"/>
                <w:sz w:val="24"/>
                <w:szCs w:val="28"/>
              </w:rPr>
              <m:t>.</m:t>
            </m:r>
            <m:r>
              <w:rPr>
                <w:rFonts w:ascii="Cambria Math" w:hAnsi="Cambria Math" w:cs="Arial"/>
                <w:sz w:val="24"/>
                <w:szCs w:val="28"/>
              </w:rPr>
              <m:t>ds</m:t>
            </m:r>
            <m:r>
              <w:rPr>
                <w:rFonts w:ascii="Cambria Math" w:hAnsi="Cambria Math" w:cs="Arial"/>
                <w:sz w:val="24"/>
                <w:szCs w:val="28"/>
              </w:rPr>
              <m:t>=</m:t>
            </m:r>
            <m:sSub>
              <m:sSubPr>
                <m:ctrlPr>
                  <w:rPr>
                    <w:rFonts w:ascii="Cambria Math" w:eastAsia="Times New Roman" w:hAnsi="Cambria Math" w:cs="Arial"/>
                    <w:i/>
                    <w:sz w:val="24"/>
                    <w:szCs w:val="24"/>
                    <w:lang w:eastAsia="ar-SA"/>
                  </w:rPr>
                </m:ctrlPr>
              </m:sSubPr>
              <m:e>
                <m:r>
                  <w:rPr>
                    <w:rFonts w:ascii="Cambria Math" w:hAnsi="Cambria Math" w:cs="Arial"/>
                    <w:sz w:val="24"/>
                    <w:szCs w:val="28"/>
                  </w:rPr>
                  <m:t>μ</m:t>
                </m:r>
              </m:e>
              <m:sub>
                <m:r>
                  <w:rPr>
                    <w:rFonts w:ascii="Cambria Math" w:hAnsi="Cambria Math" w:cs="Arial"/>
                    <w:sz w:val="24"/>
                    <w:szCs w:val="28"/>
                  </w:rPr>
                  <m:t>0</m:t>
                </m:r>
              </m:sub>
            </m:sSub>
            <m:r>
              <w:rPr>
                <w:rFonts w:ascii="Cambria Math" w:hAnsi="Cambria Math" w:cs="Arial"/>
                <w:sz w:val="24"/>
                <w:szCs w:val="28"/>
              </w:rPr>
              <m:t>I</m:t>
            </m:r>
            <m:r>
              <w:rPr>
                <w:rFonts w:ascii="Cambria Math" w:hAnsi="Cambria Math" w:cs="Arial"/>
                <w:sz w:val="24"/>
                <w:szCs w:val="28"/>
              </w:rPr>
              <m:t>+</m:t>
            </m:r>
            <m:sSub>
              <m:sSubPr>
                <m:ctrlPr>
                  <w:rPr>
                    <w:rFonts w:ascii="Cambria Math" w:eastAsia="Times New Roman" w:hAnsi="Cambria Math" w:cs="Arial"/>
                    <w:i/>
                    <w:sz w:val="24"/>
                    <w:szCs w:val="24"/>
                    <w:lang w:eastAsia="ar-SA"/>
                  </w:rPr>
                </m:ctrlPr>
              </m:sSubPr>
              <m:e>
                <m:r>
                  <w:rPr>
                    <w:rFonts w:ascii="Cambria Math" w:hAnsi="Cambria Math" w:cs="Arial"/>
                    <w:sz w:val="24"/>
                    <w:szCs w:val="28"/>
                  </w:rPr>
                  <m:t>ε</m:t>
                </m:r>
              </m:e>
              <m:sub>
                <m:r>
                  <w:rPr>
                    <w:rFonts w:ascii="Cambria Math" w:hAnsi="Cambria Math" w:cs="Arial"/>
                    <w:sz w:val="24"/>
                    <w:szCs w:val="28"/>
                  </w:rPr>
                  <m:t>0</m:t>
                </m:r>
              </m:sub>
            </m:sSub>
            <m:sSub>
              <m:sSubPr>
                <m:ctrlPr>
                  <w:rPr>
                    <w:rFonts w:ascii="Cambria Math" w:eastAsia="Times New Roman" w:hAnsi="Cambria Math" w:cs="Arial"/>
                    <w:i/>
                    <w:sz w:val="24"/>
                    <w:szCs w:val="24"/>
                    <w:lang w:eastAsia="ar-SA"/>
                  </w:rPr>
                </m:ctrlPr>
              </m:sSubPr>
              <m:e>
                <m:r>
                  <w:rPr>
                    <w:rFonts w:ascii="Cambria Math" w:hAnsi="Cambria Math" w:cs="Arial"/>
                    <w:sz w:val="24"/>
                    <w:szCs w:val="28"/>
                  </w:rPr>
                  <m:t>μ</m:t>
                </m:r>
              </m:e>
              <m:sub>
                <m:r>
                  <w:rPr>
                    <w:rFonts w:ascii="Cambria Math" w:hAnsi="Cambria Math" w:cs="Arial"/>
                    <w:sz w:val="24"/>
                    <w:szCs w:val="28"/>
                  </w:rPr>
                  <m:t>0</m:t>
                </m:r>
              </m:sub>
            </m:sSub>
            <m:f>
              <m:fPr>
                <m:ctrlPr>
                  <w:rPr>
                    <w:rFonts w:ascii="Cambria Math" w:eastAsia="Times New Roman" w:hAnsi="Cambria Math" w:cs="Arial"/>
                    <w:i/>
                    <w:sz w:val="24"/>
                    <w:szCs w:val="24"/>
                    <w:lang w:eastAsia="ar-SA"/>
                  </w:rPr>
                </m:ctrlPr>
              </m:fPr>
              <m:num>
                <m:sSub>
                  <m:sSubPr>
                    <m:ctrlPr>
                      <w:rPr>
                        <w:rFonts w:ascii="Cambria Math" w:eastAsia="Times New Roman" w:hAnsi="Cambria Math" w:cs="Arial"/>
                        <w:i/>
                        <w:sz w:val="24"/>
                        <w:szCs w:val="24"/>
                        <w:lang w:eastAsia="ar-SA"/>
                      </w:rPr>
                    </m:ctrlPr>
                  </m:sSubPr>
                  <m:e>
                    <m:r>
                      <w:rPr>
                        <w:rFonts w:ascii="Cambria Math" w:hAnsi="Cambria Math" w:cs="Arial"/>
                        <w:sz w:val="24"/>
                        <w:szCs w:val="28"/>
                      </w:rPr>
                      <m:t>d</m:t>
                    </m:r>
                    <m:r>
                      <m:rPr>
                        <m:sty m:val="p"/>
                      </m:rPr>
                      <w:rPr>
                        <w:rFonts w:ascii="Cambria Math" w:hAnsi="Cambria Math" w:cs="Arial"/>
                        <w:sz w:val="24"/>
                        <w:szCs w:val="28"/>
                      </w:rPr>
                      <m:t>Φ</m:t>
                    </m:r>
                  </m:e>
                  <m:sub>
                    <m:r>
                      <w:rPr>
                        <w:rFonts w:ascii="Cambria Math" w:hAnsi="Cambria Math" w:cs="Arial"/>
                        <w:sz w:val="24"/>
                        <w:szCs w:val="28"/>
                      </w:rPr>
                      <m:t>E</m:t>
                    </m:r>
                  </m:sub>
                </m:sSub>
              </m:num>
              <m:den>
                <m:r>
                  <w:rPr>
                    <w:rFonts w:ascii="Cambria Math" w:hAnsi="Cambria Math" w:cs="Arial"/>
                    <w:sz w:val="24"/>
                    <w:szCs w:val="28"/>
                  </w:rPr>
                  <m:t>dt</m:t>
                </m:r>
              </m:den>
            </m:f>
          </m:e>
        </m:nary>
      </m:oMath>
      <w:r w:rsidR="0058647B" w:rsidRPr="0058647B">
        <w:rPr>
          <w:rFonts w:cs="Arial"/>
        </w:rPr>
        <w:tab/>
      </w:r>
      <w:r w:rsidR="0058647B">
        <w:rPr>
          <w:rFonts w:cs="Arial"/>
        </w:rPr>
        <w:tab/>
      </w:r>
      <w:r w:rsidR="0058647B" w:rsidRPr="0058647B">
        <w:rPr>
          <w:rFonts w:cs="Arial"/>
        </w:rPr>
        <w:t>(1)</w:t>
      </w:r>
    </w:p>
    <w:p w14:paraId="27F999B0" w14:textId="37F2B1C0" w:rsidR="006547EC" w:rsidRDefault="006547EC" w:rsidP="006547EC">
      <w:pPr>
        <w:pStyle w:val="Heading2"/>
      </w:pPr>
      <w:r>
        <w:t xml:space="preserve">3.2 </w:t>
      </w:r>
      <w:r w:rsidR="000E1C56" w:rsidRPr="000E1C56">
        <w:t>Guidelines for Writing Quotations in Text Articles</w:t>
      </w:r>
    </w:p>
    <w:p w14:paraId="2D89AE56" w14:textId="2A826DD6" w:rsidR="0059324E" w:rsidRDefault="00AB1E84" w:rsidP="003974F5">
      <w:pPr>
        <w:ind w:firstLine="284"/>
        <w:jc w:val="both"/>
      </w:pPr>
      <w:r>
        <w:t>The author must write down the reference source when taking data or quoting statements from other literatur</w:t>
      </w:r>
      <w:r w:rsidR="00D44BBE" w:rsidRPr="00D44BBE">
        <w:t xml:space="preserve">e. References or citations are written in the description/text </w:t>
      </w:r>
      <w:r w:rsidR="00D749BB">
        <w:t>through</w:t>
      </w:r>
      <w:r w:rsidR="00D44BBE" w:rsidRPr="00D44BBE">
        <w:t xml:space="preserve"> the author's name and year</w:t>
      </w:r>
      <w:r w:rsidR="006547EC">
        <w:t xml:space="preserve"> </w:t>
      </w:r>
      <w:r w:rsidR="006547EC">
        <w:fldChar w:fldCharType="begin" w:fldLock="1"/>
      </w:r>
      <w:r w:rsidR="00503EA5">
        <w:instrText>ADDIN CSL_CITATION {"citationItems":[{"id":"ITEM-1","itemData":{"author":[{"dropping-particle":"","family":"Sarkowi","given":"M","non-dropping-particle":"","parse-names":false,"suffix":""}],"id":"ITEM-1","issued":{"date-parts":[["2014"]]},"publisher":"Graha Ilmu","publisher-place":"Yogyakarta, Indonesia","title":"Gravity Exploration","type":"book"},"uris":["http://www.mendeley.com/documents/?uuid=56c0bc1d-cba9-4b6a-884c-95c00fccb1f7"]}],"mendeley":{"formattedCitation":"(Sarkowi, 2014)","plainTextFormattedCitation":"(Sarkowi, 2014)","previouslyFormattedCitation":"(Sarkowi, 2014)"},"properties":{"noteIndex":0},"schema":"https://github.com/citation-style-language/schema/raw/master/csl-citation.json"}</w:instrText>
      </w:r>
      <w:r w:rsidR="006547EC">
        <w:fldChar w:fldCharType="separate"/>
      </w:r>
      <w:r w:rsidR="00503EA5" w:rsidRPr="00503EA5">
        <w:rPr>
          <w:noProof/>
        </w:rPr>
        <w:t>(Sarkowi, 2014)</w:t>
      </w:r>
      <w:r w:rsidR="006547EC">
        <w:fldChar w:fldCharType="end"/>
      </w:r>
      <w:r w:rsidR="006547EC" w:rsidRPr="006547EC">
        <w:t xml:space="preserve">. </w:t>
      </w:r>
      <w:r w:rsidR="00976406" w:rsidRPr="00976406">
        <w:t>If there are more than two authors, only the first author's name is written</w:t>
      </w:r>
      <w:r w:rsidR="001B2445">
        <w:t>,</w:t>
      </w:r>
      <w:r w:rsidR="00976406" w:rsidRPr="00976406">
        <w:t xml:space="preserve"> followed by "et al."</w:t>
      </w:r>
      <w:r w:rsidR="009261F4">
        <w:t xml:space="preserve"> </w:t>
      </w:r>
      <w:r w:rsidR="006547EC">
        <w:fldChar w:fldCharType="begin" w:fldLock="1"/>
      </w:r>
      <w:r w:rsidR="008E557F">
        <w:instrText>ADDIN CSL_CITATION {"citationItems":[{"id":"ITEM-1","itemData":{"abstract":"The existence of geothermal manifestations in Rajabasa Volcano indicate the potential of geothermal energy in this area. Some geothermal manifestations are found in the north and south foothills of Rajabasa, such as hot springs and fumaroles. This research conducted to determine the geology and geothermal system in Rajabasa volcano based on interpretation of geological field observations, water geochemistry and magnetic methods. Geological observations conducted to determine the geological and structural conditions that affect the existence of geothermal manifestations in Rajabasa volcano. The result of petrographic analysis of fresh rock samples show that Rajabasa Volcano dominated by andesitic lava with the main composition of plagioclase and clinopyroxene. While the XRD analysis of altered rock samples show the existence of minerals such as crystobalite, alunite, smectite, kaolinite, albite, zeolite and chloride. Water sampling conducted in the area of geothermal manifestations such as Way Belerang, Way Merak, Kecapi Simpur, Rajabasa and Mount Botak. Surface temperature are varied, Rajabasa hot spring around 30°C, Kecapi Simpur hot spring around 56°C, Way Belerang and Way Merak around 90°-95°C, while in Mount Botak around 102°-105°C. Water type analysis show the Kecapi Simpur dan Rajabasa hot spring manifestation is chloride-sulphate, Sulphate water for Way Belerang and Chloride water for Mount Botak manifestation. Three dimentional modeling of magnetic data has resulting an areas that have very low magnetic susceptibility start at a depth of 1000 m. This result was also confirmed by the results of water chemical analysis with geothermometer method that estimates of reservoir temperatures around 216-220°C and statistical reservoir temperature methods of geothermal drilling in several locations in Indonesia were estimated reservoir depth of about 1000 m.","author":[{"dropping-particle":"","family":"Darmawan","given":"I Gede Boy","non-dropping-particle":"","parse-names":false,"suffix":""},{"dropping-particle":"","family":"Setijadji","given":"Lucas Donny","non-dropping-particle":"","parse-names":false,"suffix":""},{"dropping-particle":"","family":"Wintolo","given":"Djoko","non-dropping-particle":"","parse-names":false,"suffix":""}],"container-title":"Proceedings World Geothermal Congress","id":"ITEM-1","issued":{"date-parts":[["2015"]]},"title":"Geology and Geothermal System in Rajabasa Volcano South Lampung Regency, Indonesia (Approach to Field Observations, Water Geochemistry and Magnetic Method)","type":"paper-conference"},"uris":["http://www.mendeley.com/documents/?uuid=1518f41c-3904-4803-b730-517fbdbf146e"]}],"mendeley":{"formattedCitation":"(Darmawan dkk., 2015)"},"properties":{"noteIndex":0},"schema":"https://github.com/citation-style-language/schema/raw/master/csl-citation.json"}</w:instrText>
      </w:r>
      <w:r w:rsidR="006547EC">
        <w:fldChar w:fldCharType="separate"/>
      </w:r>
      <w:r w:rsidR="00B91DE2" w:rsidRPr="008E557F">
        <w:rPr>
          <w:noProof/>
        </w:rPr>
        <w:t xml:space="preserve">(Darmawan </w:t>
      </w:r>
      <w:r w:rsidR="00976406">
        <w:rPr>
          <w:noProof/>
        </w:rPr>
        <w:t>et al</w:t>
      </w:r>
      <w:r w:rsidR="00B91DE2" w:rsidRPr="008E557F">
        <w:rPr>
          <w:noProof/>
        </w:rPr>
        <w:t>., 2015)</w:t>
      </w:r>
      <w:r w:rsidR="006547EC">
        <w:fldChar w:fldCharType="end"/>
      </w:r>
      <w:r w:rsidR="00D749BB">
        <w:t>.</w:t>
      </w:r>
      <w:r w:rsidR="006547EC">
        <w:t xml:space="preserve"> </w:t>
      </w:r>
      <w:r w:rsidRPr="00AB1E84">
        <w:t xml:space="preserve">Everything </w:t>
      </w:r>
      <w:r w:rsidR="00D749BB">
        <w:t>referred to in the text must be listed in the Bibliography section, and vice versa, everything</w:t>
      </w:r>
      <w:r w:rsidRPr="00AB1E84">
        <w:t xml:space="preserve"> written in the Bibliography must be referred to in the text. If there is more than one reference, they are separated by a semicolon and sorted alphabetically</w:t>
      </w:r>
      <w:r w:rsidR="006547EC" w:rsidRPr="006547EC">
        <w:t xml:space="preserve"> </w:t>
      </w:r>
      <w:r w:rsidR="000A4527">
        <w:fldChar w:fldCharType="begin" w:fldLock="1"/>
      </w:r>
      <w:r w:rsidR="008E557F">
        <w:instrText>ADDIN CSL_CITATION {"citationItems":[{"id":"ITEM-1","itemData":{"DOI":"10.1088/1742-6596/1080/1/012043","ISSN":"17426596","abstract":"© Published under licence by IOP Publishing Ltd. Bandar Lampung is one of the cities in Indonesia, which has the potential to land subsidence due to human activities or natural phenomena. However, it is still lack of information and the study of land subsidence that was ever made. This research used 15 SARs data in the intervening years from 2006 to 2011 and was combined to produce the interferogram, and then, it was inverted by using SBAS algorithm. Based on data analysis, SBAS technique was reliable enough to determine the deformation symptoms quickly and accurately. However, some locations had indications of subsidence more than 5 mm/year, even the highest reaches more than 30 mm/year which is identified in the Campang Raya, Camang, Kangkung, Sukaraja, Bakung, and Beringin Raya. Subsidence that occurred is suspected caused by tectonic and human activities and is more likely to occur in the new area suffered by land conversion. Subsidence that occurred implies on damage to the building structure, the occurrence of tidal flooding in coastal areas, and landslides in hilly areas.","author":[{"dropping-particle":"","family":"Zaenudin","given":"Ahmad","non-dropping-particle":"","parse-names":false,"suffix":""},{"dropping-particle":"","family":"Darmawan","given":"I Gede Boy","non-dropping-particle":"","parse-names":false,"suffix":""},{"dropping-particle":"","family":"Armijon","given":"","non-dropping-particle":"","parse-names":false,"suffix":""},{"dropping-particle":"","family":"Minardi","given":"S","non-dropping-particle":"","parse-names":false,"suffix":""},{"dropping-particle":"","family":"Haerudin","given":"Nandi","non-dropping-particle":"","parse-names":false,"suffix":""}],"container-title":"Journal of Physics: Conference Series","id":"ITEM-1","issued":{"date-parts":[["2018"]]},"title":"Land subsidence analysis in Bandar Lampung City based on InSAR","type":"paper-conference"},"uris":["http://www.mendeley.com/documents/?uuid=22475cb8-f000-4457-984d-95c4a83e4d12"]},{"id":"ITEM-2","itemData":{"abstract":"A geophysical survey using gravity method was conducted at Bukit Bunuh, Lenggong, Perak, Malaysia, to determine the occurrence of a subsurface impact crater, based on the discovery of meteorite impact rock, suevite, in the study area. A standard correction was applied to all the gravity data to produce Bouguer gravity anomaly of the study area. The Bouguer gravity anomaly was used to produce several maps of gravity anomalies by filtering processes and relate them to the geological structure and tectonic history of the study area. Data processing and interpretation were conducted using geophysical software, Oasis Montaj. This software was used in a number of gravity data filtering processes, such as Low Pass Filter (LPF) and the Total Horizontal Derivative (THD). Bouguer gravity anomaly map shows a circular structure in Bukit Bunuh area which is interpreted as a remnant of meteorite impact crater. The gravity anomaly appears to decrease from the edge of the crater and increases at the center. This feature indicates a complex crater structure which has central uplift. The Total Horizontal Derivative map of residual gravity anomaly shows structural trend such as lineaments and faults that dominant to the northwest</w:instrText>
      </w:r>
      <w:r w:rsidR="008E557F">
        <w:rPr>
          <w:rFonts w:ascii="Cambria Math" w:hAnsi="Cambria Math" w:cs="Cambria Math"/>
        </w:rPr>
        <w:instrText>‐</w:instrText>
      </w:r>
      <w:r w:rsidR="008E557F">
        <w:instrText>southeast direction. A model was produced using GM</w:instrText>
      </w:r>
      <w:r w:rsidR="008E557F">
        <w:rPr>
          <w:rFonts w:ascii="Cambria Math" w:hAnsi="Cambria Math" w:cs="Cambria Math"/>
        </w:rPr>
        <w:instrText>‐</w:instrText>
      </w:r>
      <w:r w:rsidR="008E557F">
        <w:instrText>SYS 3D software to determine the geometry of the impact crater. The interpreted 3</w:instrText>
      </w:r>
      <w:r w:rsidR="008E557F">
        <w:rPr>
          <w:rFonts w:ascii="Cambria Math" w:hAnsi="Cambria Math" w:cs="Cambria Math"/>
        </w:rPr>
        <w:instrText>‐</w:instrText>
      </w:r>
      <w:r w:rsidR="008E557F">
        <w:instrText>D model shows a diameter of the impact crater was approximately 2368 m and depth of about 400 m. The model of the crater appears to tilt toward southeast, which illustrates the ancient meteorite that hit this area about 1.83 million years ago possibility came from northwest direction.","author":[{"dropping-particle":"","family":"Putra","given":"Dewandra Bagus Eka","non-dropping-particle":"","parse-names":false,"suffix":""},{"dropping-particle":"","family":"Samsudin","given":"Abdul Rahim","non-dropping-particle":"","parse-names":false,"suffix":""},{"dropping-particle":"","family":"Choanji","given":"Tiggi","non-dropping-particle":"","parse-names":false,"suffix":""}],"container-title":"Proceeding of The 7th Indonesia Japan Joint Scientific Symposium","id":"ITEM-2","issued":{"date-parts":[["2016"]]},"page":"515-524","title":"Geophysical Modelling Using Gravity Data Of Meteorite Impact Crater At Bukit Bunuh, Lenggong, Perak, Malaysia","type":"article-journal","volume":"1"},"uris":["http://www.mendeley.com/documents/?uuid=40752a0d-d17b-3149-8fcc-ef686de246c0"]},{"id":"ITEM-3","itemData":{"abstract":"Optical microcavities confine light at resonant frequencies for extended periods of time and fundamentally alter the interaction of light with matter. They are the basis of numerous applied and fundamental studies, such as cavity QED, photonics and sensing. Of all resonant geometries, surface tension-induced microcavities, such as silica micro-spheres, exhibit the highest Q-factor to date of nearly 9 billion. Despite these high Q-factor and the intense interest in these structures, the nonlinear optical properties of silica micro-spheres have remained nearly entirely unexplored. In this thesis the nonlinear optical phenomena which can occur in ultra-high-Q microcavities are investigated. To efficiently excite the whispering-gallery modes, tapered optical fibers are used and the coupling to ultra-high-Q modes studied. It is found, that microcavities with ultra-high enter a regime where scattering of light into the degenerate pair of clockwise and counter-clockwise mode is the dominant scattering process. In this regime the coupling properties are significantly altered, but the cavities still retain their ability to achieve significant cavity build-up fields. This allowed exceeding the threshold for all common nonlinearities encountered in silica. In particular, stimulated Raman scattering is observed in taper fiber coupled silica micro-spheres at threshold levels typically in the micro-Watt range, which usually is considered the regime of linear optics. Cascaded Raman lasing is also observed in these structures. The tapered optical fiber in these experiments functions to both pump WGMs as well as to extract the nonlinear Raman fields. In addition, the tapered-fiber coupling junction is highly ideal, making it possible to strongly over-couple ultra-high-Q cavities with negligible junction loss. This feature allows for the observation of very high internal differential photon conversion efficiencies approaching unity. Whereas micro-spheres are both compact and efficient nonlinear oscillators, their fabrication properties lack the control and parallelism typical of micro-fabrication techniques. A synergistic approach of micro-fabrication and a laser assisted reflow process, allows to create toroidally silica microcavities on a chip. In this thesis it is demonstrated, that these cavities can exhibit ultra-high-Q whispering-gallery modes, allowing to achieve ultra-high-Q modes on a chip.","author":[{"dropping-particle":"","family":"Kippenberg","given":"Tobias Jan August","non-dropping-particle":"","parse-names":false,"suffix":""}],"container-title":"PhD Thesis","id":"ITEM-3","issued":{"date-parts":[["2004"]]},"number-of-pages":"185","publisher":"Caltech Institute","title":"Nonlinear Optics in Ultra-high-Q Whispering-Gallery Optical Microcavities","type":"thesis"},"uris":["http://www.mendeley.com/documents/?uuid=bd523f67-6857-3e5b-ae31-d6f0af4d36fc"]}],"mendeley":{"formattedCitation":"(Kippenberg, 2004; Putra dkk., 2016; Zaenudin dkk., 2018)"},"properties":{"noteIndex":0},"schema":"https://github.com/citation-style-language/schema/raw/master/csl-citation.json"}</w:instrText>
      </w:r>
      <w:r w:rsidR="000A4527">
        <w:fldChar w:fldCharType="separate"/>
      </w:r>
      <w:r w:rsidR="00B91DE2" w:rsidRPr="008E557F">
        <w:rPr>
          <w:noProof/>
        </w:rPr>
        <w:t xml:space="preserve">(Kippenberg, 2004; Putra </w:t>
      </w:r>
      <w:r w:rsidR="00976406">
        <w:rPr>
          <w:noProof/>
        </w:rPr>
        <w:t>et al</w:t>
      </w:r>
      <w:r w:rsidR="00B91DE2" w:rsidRPr="008E557F">
        <w:rPr>
          <w:noProof/>
        </w:rPr>
        <w:t xml:space="preserve">., 2016; Zaenudin </w:t>
      </w:r>
      <w:r w:rsidR="00976406">
        <w:rPr>
          <w:noProof/>
        </w:rPr>
        <w:t>et al</w:t>
      </w:r>
      <w:r w:rsidR="00B91DE2" w:rsidRPr="008E557F">
        <w:rPr>
          <w:noProof/>
        </w:rPr>
        <w:t>., 2018)</w:t>
      </w:r>
      <w:r w:rsidR="000A4527">
        <w:fldChar w:fldCharType="end"/>
      </w:r>
      <w:r w:rsidR="000A4527">
        <w:t>.</w:t>
      </w:r>
    </w:p>
    <w:p w14:paraId="15F1D1F7" w14:textId="77777777" w:rsidR="00052E6B" w:rsidRDefault="00052E6B" w:rsidP="006547EC">
      <w:pPr>
        <w:jc w:val="both"/>
      </w:pPr>
    </w:p>
    <w:p w14:paraId="7910B776" w14:textId="6685D386" w:rsidR="00052E6B" w:rsidRDefault="00052E6B" w:rsidP="00052E6B">
      <w:pPr>
        <w:pStyle w:val="Heading1"/>
      </w:pPr>
      <w:r>
        <w:t xml:space="preserve">4. </w:t>
      </w:r>
      <w:r w:rsidR="00D749BB">
        <w:t>CONCLUSIONS</w:t>
      </w:r>
    </w:p>
    <w:p w14:paraId="115B15B1" w14:textId="77FD0D8C" w:rsidR="006547EC" w:rsidRDefault="00F33CF4" w:rsidP="003974F5">
      <w:pPr>
        <w:ind w:firstLine="284"/>
        <w:jc w:val="both"/>
      </w:pPr>
      <w:r w:rsidRPr="00F33CF4">
        <w:t>Conclusions describe the answers to the hypotheses and/or research objectives or scientific findings obtained. The conclusion does not contain a repetition of the results and discussion but rather a summary of the findings as expected in the objectives or hypotheses and the things that will be done related to the next idea of the research.</w:t>
      </w:r>
    </w:p>
    <w:p w14:paraId="6E5BE976" w14:textId="7BE842F2" w:rsidR="00052E6B" w:rsidRDefault="00F33CF4" w:rsidP="00052E6B">
      <w:pPr>
        <w:ind w:firstLine="284"/>
        <w:jc w:val="both"/>
      </w:pPr>
      <w:r w:rsidRPr="00F33CF4">
        <w:t>Manuscripts are submitted fully online to the JGRS online journal system portal at: (</w:t>
      </w:r>
      <w:hyperlink r:id="rId21" w:history="1">
        <w:r w:rsidRPr="00755FE9">
          <w:rPr>
            <w:rStyle w:val="Hyperlink"/>
          </w:rPr>
          <w:t>https://jgrs.eng.unila.ac.id/index.php/geo</w:t>
        </w:r>
      </w:hyperlink>
      <w:r w:rsidRPr="00F33CF4">
        <w:t>) with the following steps:</w:t>
      </w:r>
    </w:p>
    <w:p w14:paraId="57183C9E" w14:textId="77777777" w:rsidR="00052E6B" w:rsidRDefault="00052E6B" w:rsidP="00052E6B">
      <w:pPr>
        <w:ind w:firstLine="284"/>
        <w:jc w:val="both"/>
      </w:pPr>
    </w:p>
    <w:p w14:paraId="57DA50D7" w14:textId="71D753B3" w:rsidR="00052E6B" w:rsidRDefault="00052E6B" w:rsidP="00F7330E">
      <w:pPr>
        <w:ind w:left="284" w:hanging="284"/>
      </w:pPr>
      <w:r>
        <w:t>1.</w:t>
      </w:r>
      <w:r>
        <w:tab/>
      </w:r>
      <w:r w:rsidR="00F7330E" w:rsidRPr="00F7330E">
        <w:t>Authors register as Authors and/or Reviewers (tick the role as Author and/or Reviewer) in the "Register" section:</w:t>
      </w:r>
      <w:r>
        <w:t xml:space="preserve"> </w:t>
      </w:r>
      <w:hyperlink r:id="rId22" w:history="1">
        <w:r w:rsidR="00EE7517" w:rsidRPr="00556642">
          <w:rPr>
            <w:rStyle w:val="Hyperlink"/>
          </w:rPr>
          <w:t>https://jgrs.eng.unila.ac.id/index.php/geo/user/register</w:t>
        </w:r>
      </w:hyperlink>
      <w:r w:rsidR="00EE7517">
        <w:t xml:space="preserve"> </w:t>
      </w:r>
    </w:p>
    <w:p w14:paraId="6D5C20F8" w14:textId="68469CDF" w:rsidR="00052E6B" w:rsidRDefault="00052E6B" w:rsidP="007F3BBE">
      <w:pPr>
        <w:ind w:left="284" w:hanging="284"/>
        <w:jc w:val="both"/>
      </w:pPr>
      <w:r>
        <w:t>2.</w:t>
      </w:r>
      <w:r>
        <w:tab/>
      </w:r>
      <w:r w:rsidR="00F7330E" w:rsidRPr="00F7330E">
        <w:t>Author login as Author, click on "</w:t>
      </w:r>
      <w:r w:rsidR="00F7330E" w:rsidRPr="00F7330E">
        <w:rPr>
          <w:b/>
          <w:bCs/>
        </w:rPr>
        <w:t>New Submission</w:t>
      </w:r>
      <w:r w:rsidR="00F7330E" w:rsidRPr="00F7330E">
        <w:t>". The stages of submitting articles consist of 5 stages, namely: (1). Start, (2). Upload Submission, (3). Enter Metadata, (4). confirmation</w:t>
      </w:r>
    </w:p>
    <w:p w14:paraId="0269B445" w14:textId="34916A95" w:rsidR="00052E6B" w:rsidRDefault="00052E6B" w:rsidP="007F3BBE">
      <w:pPr>
        <w:ind w:left="284" w:hanging="284"/>
        <w:jc w:val="both"/>
      </w:pPr>
      <w:r>
        <w:t>3.</w:t>
      </w:r>
      <w:r>
        <w:tab/>
      </w:r>
      <w:r w:rsidR="004379B9">
        <w:t>select Submission Language (English or Indonesian) in the Start section</w:t>
      </w:r>
      <w:r w:rsidR="006B786B" w:rsidRPr="006B786B">
        <w:t xml:space="preserve"> </w:t>
      </w:r>
      <w:r w:rsidR="004379B9">
        <w:t xml:space="preserve">and </w:t>
      </w:r>
      <w:r w:rsidR="006B786B" w:rsidRPr="006B786B">
        <w:t>check all the checklists</w:t>
      </w:r>
      <w:r>
        <w:t xml:space="preserve">. </w:t>
      </w:r>
    </w:p>
    <w:p w14:paraId="2C357D61" w14:textId="36BBA3F4" w:rsidR="00052E6B" w:rsidRDefault="00052E6B" w:rsidP="007F3BBE">
      <w:pPr>
        <w:ind w:left="284" w:hanging="284"/>
        <w:jc w:val="both"/>
      </w:pPr>
      <w:r>
        <w:t>4.</w:t>
      </w:r>
      <w:r>
        <w:tab/>
      </w:r>
      <w:r w:rsidR="00D52F0F" w:rsidRPr="00D52F0F">
        <w:t xml:space="preserve">In the Upload Submission section, please upload the article manuscript file in MS Word as well as </w:t>
      </w:r>
      <w:r w:rsidR="00D52F0F" w:rsidRPr="00D52F0F">
        <w:lastRenderedPageBreak/>
        <w:t>all the required Supplementary Files in this section.</w:t>
      </w:r>
    </w:p>
    <w:p w14:paraId="1B17C291" w14:textId="13C88A2D" w:rsidR="00052E6B" w:rsidRDefault="00052E6B" w:rsidP="007F3BBE">
      <w:pPr>
        <w:ind w:left="284" w:hanging="284"/>
        <w:jc w:val="both"/>
      </w:pPr>
      <w:r>
        <w:t>5.</w:t>
      </w:r>
      <w:r>
        <w:tab/>
      </w:r>
      <w:r w:rsidR="00D52F0F" w:rsidRPr="00D52F0F">
        <w:t>In the Enter Metadata section, enter the title and abstract, list of contributors (</w:t>
      </w:r>
      <w:r w:rsidR="00D52F0F" w:rsidRPr="00D52F0F">
        <w:rPr>
          <w:b/>
          <w:bCs/>
        </w:rPr>
        <w:t>write down all the authors</w:t>
      </w:r>
      <w:r w:rsidR="00D52F0F" w:rsidRPr="00D52F0F">
        <w:t xml:space="preserve"> and specify the corresponding author), keywords and bibliography.</w:t>
      </w:r>
    </w:p>
    <w:p w14:paraId="798FF45D" w14:textId="2BD22AA5" w:rsidR="00052E6B" w:rsidRDefault="00052E6B" w:rsidP="007F3BBE">
      <w:pPr>
        <w:ind w:left="284" w:hanging="284"/>
        <w:jc w:val="both"/>
      </w:pPr>
      <w:r>
        <w:t>6.</w:t>
      </w:r>
      <w:r>
        <w:tab/>
      </w:r>
      <w:r w:rsidR="00F31E95" w:rsidRPr="00F31E95">
        <w:t>In the Confirmation section, please click "Finish Submission" if all data is correct</w:t>
      </w:r>
      <w:r>
        <w:t>.</w:t>
      </w:r>
    </w:p>
    <w:p w14:paraId="229E7CC3" w14:textId="40FF9A8C" w:rsidR="00052E6B" w:rsidRDefault="00052E6B" w:rsidP="007F3BBE">
      <w:pPr>
        <w:ind w:left="284" w:hanging="284"/>
        <w:jc w:val="both"/>
      </w:pPr>
      <w:r>
        <w:t>8.</w:t>
      </w:r>
      <w:r>
        <w:tab/>
      </w:r>
      <w:r w:rsidR="00F31E95" w:rsidRPr="00F31E95">
        <w:t>If the author has difficulties in the process of submitting the manuscript, please consult via email to the JGRS Editorial email</w:t>
      </w:r>
      <w:r w:rsidR="00F31E95" w:rsidRPr="00F31E95">
        <w:t xml:space="preserve"> </w:t>
      </w:r>
      <w:r>
        <w:t>(</w:t>
      </w:r>
      <w:hyperlink r:id="rId23" w:history="1">
        <w:r w:rsidR="00F152BC" w:rsidRPr="00FC5EF8">
          <w:rPr>
            <w:rStyle w:val="Hyperlink"/>
          </w:rPr>
          <w:t>jgrs@eng.unila.ac.id</w:t>
        </w:r>
      </w:hyperlink>
      <w:r>
        <w:t>).</w:t>
      </w:r>
    </w:p>
    <w:p w14:paraId="35250AC0" w14:textId="77777777" w:rsidR="00D77B2C" w:rsidRDefault="00D77B2C" w:rsidP="008F6F17">
      <w:pPr>
        <w:jc w:val="both"/>
        <w:rPr>
          <w:iCs/>
          <w:color w:val="000000"/>
          <w:lang w:val="id-ID"/>
        </w:rPr>
      </w:pPr>
    </w:p>
    <w:p w14:paraId="691A2D48" w14:textId="7A6E7605" w:rsidR="00052E6B" w:rsidRDefault="00E025D3" w:rsidP="008F6F17">
      <w:pPr>
        <w:jc w:val="both"/>
        <w:rPr>
          <w:iCs/>
          <w:color w:val="000000"/>
          <w:lang w:val="id-ID"/>
        </w:rPr>
      </w:pPr>
      <w:r w:rsidRPr="00E025D3">
        <w:rPr>
          <w:iCs/>
          <w:color w:val="000000"/>
          <w:lang w:val="id-ID"/>
        </w:rPr>
        <w:t>Every article submitted to JGRS must follow these writing guidelines. Articles that do not comply with these guidelines will be returned prior to further review.</w:t>
      </w:r>
    </w:p>
    <w:p w14:paraId="309600E0" w14:textId="77777777" w:rsidR="00E025D3" w:rsidRDefault="00E025D3" w:rsidP="008F6F17">
      <w:pPr>
        <w:jc w:val="both"/>
        <w:rPr>
          <w:iCs/>
          <w:color w:val="000000"/>
        </w:rPr>
      </w:pPr>
    </w:p>
    <w:p w14:paraId="63FD6F10" w14:textId="7E9CEA02" w:rsidR="008F6F17" w:rsidRDefault="00E025D3" w:rsidP="006A1FB4">
      <w:pPr>
        <w:pStyle w:val="Heading1"/>
      </w:pPr>
      <w:r>
        <w:t>ACKNOWLEDGMENT</w:t>
      </w:r>
      <w:r w:rsidR="007305CA">
        <w:t>S</w:t>
      </w:r>
    </w:p>
    <w:p w14:paraId="0C9A949A" w14:textId="56A7CE29" w:rsidR="00052E6B" w:rsidRDefault="00E025D3" w:rsidP="003974F5">
      <w:pPr>
        <w:ind w:firstLine="284"/>
        <w:jc w:val="both"/>
      </w:pPr>
      <w:r w:rsidRPr="00E025D3">
        <w:t>Acknowledgments are addressed to research funders</w:t>
      </w:r>
      <w:r w:rsidR="007305CA">
        <w:t>, donors, and</w:t>
      </w:r>
      <w:r w:rsidRPr="00E025D3">
        <w:t xml:space="preserve"> parties who assist in research. The thank you subtitles are not numbered</w:t>
      </w:r>
      <w:r w:rsidR="006A1FB4">
        <w:t>.</w:t>
      </w:r>
    </w:p>
    <w:p w14:paraId="21439EFB" w14:textId="77777777" w:rsidR="006A1FB4" w:rsidRDefault="006A1FB4" w:rsidP="006A1FB4">
      <w:pPr>
        <w:jc w:val="both"/>
      </w:pPr>
    </w:p>
    <w:p w14:paraId="3A36BE27" w14:textId="66A4FFB2" w:rsidR="000A254F" w:rsidRDefault="008B4596" w:rsidP="006A1FB4">
      <w:pPr>
        <w:pStyle w:val="Heading1"/>
      </w:pPr>
      <w:r>
        <w:t>REFERENCES</w:t>
      </w:r>
    </w:p>
    <w:p w14:paraId="6129B622" w14:textId="5E861E1B" w:rsidR="00E95323" w:rsidRDefault="008B4596" w:rsidP="003974F5">
      <w:pPr>
        <w:ind w:firstLine="284"/>
        <w:jc w:val="both"/>
      </w:pPr>
      <w:r w:rsidRPr="008B4596">
        <w:t xml:space="preserve">Bibliography writing should use a reference management application. The writing format used in JGRS is according to </w:t>
      </w:r>
      <w:r w:rsidR="00E95323" w:rsidRPr="00AC70C0">
        <w:rPr>
          <w:i/>
        </w:rPr>
        <w:t xml:space="preserve">APA </w:t>
      </w:r>
      <w:r w:rsidR="008E557F">
        <w:rPr>
          <w:i/>
        </w:rPr>
        <w:t>7</w:t>
      </w:r>
      <w:r w:rsidR="00E95323" w:rsidRPr="00AC70C0">
        <w:rPr>
          <w:i/>
          <w:vertAlign w:val="superscript"/>
        </w:rPr>
        <w:t>th</w:t>
      </w:r>
      <w:r w:rsidR="00E95323" w:rsidRPr="00AC70C0">
        <w:rPr>
          <w:i/>
        </w:rPr>
        <w:t xml:space="preserve"> Edition</w:t>
      </w:r>
      <w:r w:rsidR="00E95323" w:rsidRPr="00E95323">
        <w:t xml:space="preserve"> (</w:t>
      </w:r>
      <w:r w:rsidR="00E95323" w:rsidRPr="00AC70C0">
        <w:rPr>
          <w:i/>
        </w:rPr>
        <w:t>American Psychological Association</w:t>
      </w:r>
      <w:r w:rsidR="00E95323" w:rsidRPr="00E95323">
        <w:t>)</w:t>
      </w:r>
      <w:r>
        <w:t xml:space="preserve"> </w:t>
      </w:r>
      <w:r w:rsidRPr="008B4596">
        <w:t>format</w:t>
      </w:r>
      <w:r w:rsidR="008E557F">
        <w:t>.</w:t>
      </w:r>
    </w:p>
    <w:p w14:paraId="7B0D292D" w14:textId="126BFA8E" w:rsidR="00FC0942" w:rsidRPr="00FC0942" w:rsidRDefault="00612C55" w:rsidP="00E95323">
      <w:pPr>
        <w:jc w:val="both"/>
        <w:rPr>
          <w:rFonts w:cs="Arial"/>
          <w:i/>
        </w:rPr>
      </w:pPr>
      <w:r w:rsidRPr="00612C55">
        <w:rPr>
          <w:rFonts w:cs="Arial"/>
          <w:b/>
          <w:i/>
          <w:iCs/>
          <w:color w:val="000000"/>
          <w:szCs w:val="20"/>
        </w:rPr>
        <w:t>References in scientific journals</w:t>
      </w:r>
      <w:r w:rsidR="00FC0942" w:rsidRPr="00FC0942">
        <w:rPr>
          <w:rFonts w:cs="Arial"/>
          <w:b/>
          <w:i/>
          <w:iCs/>
          <w:color w:val="000000"/>
          <w:szCs w:val="20"/>
        </w:rPr>
        <w:t>:</w:t>
      </w:r>
    </w:p>
    <w:p w14:paraId="7EE7D6A9" w14:textId="77777777" w:rsidR="0060750C" w:rsidRPr="0060750C" w:rsidRDefault="0060750C" w:rsidP="0060750C">
      <w:pPr>
        <w:widowControl w:val="0"/>
        <w:autoSpaceDE w:val="0"/>
        <w:autoSpaceDN w:val="0"/>
        <w:adjustRightInd w:val="0"/>
        <w:ind w:left="480" w:hanging="480"/>
        <w:jc w:val="both"/>
        <w:rPr>
          <w:rFonts w:cs="Arial"/>
          <w:noProof/>
          <w:szCs w:val="24"/>
        </w:rPr>
      </w:pPr>
      <w:r w:rsidRPr="0060750C">
        <w:rPr>
          <w:rFonts w:cs="Arial"/>
          <w:noProof/>
          <w:szCs w:val="24"/>
        </w:rPr>
        <w:t xml:space="preserve">Yudhicara, Muslim, D., &amp; Sudradjat, A. (2017). Geomorphic analysis in determining tectonic activity affected by Sumatra Fault in Liwa region and its surrounding area, Lampung, Indonesia. </w:t>
      </w:r>
      <w:r w:rsidRPr="0060750C">
        <w:rPr>
          <w:rFonts w:cs="Arial"/>
          <w:i/>
          <w:iCs/>
          <w:noProof/>
          <w:szCs w:val="24"/>
        </w:rPr>
        <w:t>Indonesian Journal on Geoscience</w:t>
      </w:r>
      <w:r w:rsidRPr="0060750C">
        <w:rPr>
          <w:rFonts w:cs="Arial"/>
          <w:noProof/>
          <w:szCs w:val="24"/>
        </w:rPr>
        <w:t xml:space="preserve">, </w:t>
      </w:r>
      <w:r w:rsidRPr="0060750C">
        <w:rPr>
          <w:rFonts w:cs="Arial"/>
          <w:i/>
          <w:iCs/>
          <w:noProof/>
          <w:szCs w:val="24"/>
        </w:rPr>
        <w:t>4</w:t>
      </w:r>
      <w:r w:rsidRPr="0060750C">
        <w:rPr>
          <w:rFonts w:cs="Arial"/>
          <w:noProof/>
          <w:szCs w:val="24"/>
        </w:rPr>
        <w:t>(3), 193–208. https://doi.org/10.17014/ijog.4.3.193-208</w:t>
      </w:r>
    </w:p>
    <w:p w14:paraId="47F74E2E" w14:textId="1F23005E" w:rsidR="00FC0942" w:rsidRDefault="0060750C" w:rsidP="0060750C">
      <w:pPr>
        <w:widowControl w:val="0"/>
        <w:autoSpaceDE w:val="0"/>
        <w:autoSpaceDN w:val="0"/>
        <w:adjustRightInd w:val="0"/>
        <w:ind w:left="480" w:hanging="480"/>
        <w:jc w:val="both"/>
        <w:rPr>
          <w:rFonts w:cs="Arial"/>
          <w:noProof/>
          <w:szCs w:val="24"/>
        </w:rPr>
      </w:pPr>
      <w:r w:rsidRPr="0060750C">
        <w:rPr>
          <w:rFonts w:cs="Arial"/>
          <w:noProof/>
          <w:szCs w:val="24"/>
        </w:rPr>
        <w:t xml:space="preserve">Zaenudin, A., Darmawan, I. G. B., Armijon, Minardi, S., &amp; Haerudin, N. (2018). Land subsidence analysis in Bandar Lampung City based on </w:t>
      </w:r>
      <w:r w:rsidRPr="0060750C">
        <w:rPr>
          <w:rFonts w:cs="Arial"/>
          <w:noProof/>
          <w:szCs w:val="24"/>
        </w:rPr>
        <w:t xml:space="preserve">InSAR. </w:t>
      </w:r>
      <w:r w:rsidRPr="0060750C">
        <w:rPr>
          <w:rFonts w:cs="Arial"/>
          <w:i/>
          <w:iCs/>
          <w:noProof/>
          <w:szCs w:val="24"/>
        </w:rPr>
        <w:t>Journal of Physics: Conference Series</w:t>
      </w:r>
      <w:r w:rsidRPr="0060750C">
        <w:rPr>
          <w:rFonts w:cs="Arial"/>
          <w:noProof/>
          <w:szCs w:val="24"/>
        </w:rPr>
        <w:t>. https://doi.org/10.1088/1742-6596/1080/1/012043</w:t>
      </w:r>
    </w:p>
    <w:p w14:paraId="28B14679" w14:textId="60D5CFF1" w:rsidR="00FC0942" w:rsidRPr="00FC0942" w:rsidRDefault="00612C55" w:rsidP="00FC0942">
      <w:pPr>
        <w:pStyle w:val="NormalWeb"/>
        <w:spacing w:before="0" w:beforeAutospacing="0" w:after="0"/>
        <w:rPr>
          <w:rFonts w:ascii="Arial" w:hAnsi="Arial" w:cs="Arial"/>
          <w:b/>
          <w:sz w:val="20"/>
          <w:szCs w:val="20"/>
        </w:rPr>
      </w:pPr>
      <w:r w:rsidRPr="00612C55">
        <w:rPr>
          <w:rFonts w:ascii="Arial" w:hAnsi="Arial" w:cs="Arial"/>
          <w:b/>
          <w:i/>
          <w:iCs/>
          <w:color w:val="000000"/>
          <w:sz w:val="20"/>
          <w:szCs w:val="20"/>
        </w:rPr>
        <w:t xml:space="preserve">References in </w:t>
      </w:r>
      <w:r>
        <w:rPr>
          <w:rFonts w:ascii="Arial" w:hAnsi="Arial" w:cs="Arial"/>
          <w:b/>
          <w:i/>
          <w:iCs/>
          <w:color w:val="000000"/>
          <w:sz w:val="20"/>
          <w:szCs w:val="20"/>
        </w:rPr>
        <w:t>Books</w:t>
      </w:r>
      <w:r w:rsidR="00FC0942" w:rsidRPr="00FC0942">
        <w:rPr>
          <w:rFonts w:ascii="Arial" w:hAnsi="Arial" w:cs="Arial"/>
          <w:b/>
          <w:i/>
          <w:iCs/>
          <w:color w:val="000000"/>
          <w:sz w:val="20"/>
          <w:szCs w:val="20"/>
        </w:rPr>
        <w:t>:</w:t>
      </w:r>
    </w:p>
    <w:p w14:paraId="33E950C5" w14:textId="77777777" w:rsidR="00B70524" w:rsidRDefault="00B70524" w:rsidP="00B70524">
      <w:pPr>
        <w:widowControl w:val="0"/>
        <w:autoSpaceDE w:val="0"/>
        <w:autoSpaceDN w:val="0"/>
        <w:adjustRightInd w:val="0"/>
        <w:ind w:left="480" w:hanging="480"/>
        <w:jc w:val="both"/>
        <w:rPr>
          <w:rFonts w:cs="Arial"/>
          <w:noProof/>
          <w:szCs w:val="24"/>
        </w:rPr>
      </w:pPr>
      <w:r w:rsidRPr="00503EA5">
        <w:rPr>
          <w:rFonts w:cs="Arial"/>
          <w:noProof/>
          <w:szCs w:val="24"/>
        </w:rPr>
        <w:t xml:space="preserve">Sarkowi, M. (2014). </w:t>
      </w:r>
      <w:r w:rsidRPr="00503EA5">
        <w:rPr>
          <w:rFonts w:cs="Arial"/>
          <w:i/>
          <w:iCs/>
          <w:noProof/>
          <w:szCs w:val="24"/>
        </w:rPr>
        <w:t>Gravity Exploration</w:t>
      </w:r>
      <w:r w:rsidRPr="00503EA5">
        <w:rPr>
          <w:rFonts w:cs="Arial"/>
          <w:noProof/>
          <w:szCs w:val="24"/>
        </w:rPr>
        <w:t>. Yogyakarta, Indonesia: Graha Ilmu.</w:t>
      </w:r>
    </w:p>
    <w:p w14:paraId="18CC73FB" w14:textId="105D36D5" w:rsidR="00B70524" w:rsidRPr="00503EA5" w:rsidRDefault="00B70524" w:rsidP="00B70524">
      <w:pPr>
        <w:widowControl w:val="0"/>
        <w:autoSpaceDE w:val="0"/>
        <w:autoSpaceDN w:val="0"/>
        <w:adjustRightInd w:val="0"/>
        <w:ind w:left="480" w:hanging="480"/>
        <w:jc w:val="both"/>
        <w:rPr>
          <w:rFonts w:cs="Arial"/>
          <w:noProof/>
          <w:szCs w:val="24"/>
        </w:rPr>
      </w:pPr>
      <w:r w:rsidRPr="00503EA5">
        <w:rPr>
          <w:rFonts w:cs="Arial"/>
          <w:noProof/>
          <w:szCs w:val="24"/>
        </w:rPr>
        <w:t xml:space="preserve">Telford, W. M., Geldart, L. P., &amp; Sheriff, R. E. (1990). </w:t>
      </w:r>
      <w:r w:rsidRPr="00146723">
        <w:rPr>
          <w:rFonts w:cs="Arial"/>
          <w:i/>
          <w:iCs/>
          <w:noProof/>
          <w:szCs w:val="24"/>
        </w:rPr>
        <w:t>Applied geophysics</w:t>
      </w:r>
      <w:r w:rsidR="00146723">
        <w:rPr>
          <w:rFonts w:cs="Arial"/>
          <w:i/>
          <w:iCs/>
          <w:noProof/>
          <w:szCs w:val="24"/>
        </w:rPr>
        <w:t>,</w:t>
      </w:r>
      <w:r w:rsidRPr="00146723">
        <w:rPr>
          <w:rFonts w:cs="Arial"/>
          <w:i/>
          <w:iCs/>
          <w:noProof/>
          <w:szCs w:val="24"/>
        </w:rPr>
        <w:t xml:space="preserve"> 2nd edition</w:t>
      </w:r>
      <w:r w:rsidRPr="00503EA5">
        <w:rPr>
          <w:rFonts w:cs="Arial"/>
          <w:i/>
          <w:iCs/>
          <w:noProof/>
          <w:szCs w:val="24"/>
        </w:rPr>
        <w:t>. 2nd edition</w:t>
      </w:r>
      <w:r w:rsidRPr="00503EA5">
        <w:rPr>
          <w:rFonts w:cs="Arial"/>
          <w:noProof/>
          <w:szCs w:val="24"/>
        </w:rPr>
        <w:t>. New York, USA: Cambridge University Press.</w:t>
      </w:r>
    </w:p>
    <w:p w14:paraId="29F708DD" w14:textId="27E58BD2" w:rsidR="009407E9" w:rsidRPr="00612C55" w:rsidRDefault="00612C55" w:rsidP="00E95323">
      <w:pPr>
        <w:jc w:val="both"/>
      </w:pPr>
      <w:r w:rsidRPr="00612C55">
        <w:rPr>
          <w:b/>
          <w:i/>
          <w:color w:val="000000"/>
          <w:szCs w:val="20"/>
          <w:lang w:val="id-ID"/>
        </w:rPr>
        <w:t xml:space="preserve">References in </w:t>
      </w:r>
      <w:r>
        <w:rPr>
          <w:b/>
          <w:i/>
          <w:color w:val="000000"/>
          <w:szCs w:val="20"/>
        </w:rPr>
        <w:t>Proceedings:</w:t>
      </w:r>
    </w:p>
    <w:p w14:paraId="343ECB32" w14:textId="0A4A1A2E" w:rsidR="008E557F" w:rsidRPr="008E557F" w:rsidRDefault="009407E9" w:rsidP="008E557F">
      <w:pPr>
        <w:widowControl w:val="0"/>
        <w:autoSpaceDE w:val="0"/>
        <w:autoSpaceDN w:val="0"/>
        <w:adjustRightInd w:val="0"/>
        <w:ind w:left="480" w:hanging="480"/>
        <w:rPr>
          <w:rFonts w:cs="Arial"/>
          <w:noProof/>
          <w:szCs w:val="24"/>
        </w:rPr>
      </w:pPr>
      <w:r>
        <w:fldChar w:fldCharType="begin" w:fldLock="1"/>
      </w:r>
      <w:r>
        <w:instrText xml:space="preserve">ADDIN Mendeley Bibliography CSL_BIBLIOGRAPHY </w:instrText>
      </w:r>
      <w:r>
        <w:fldChar w:fldCharType="separate"/>
      </w:r>
      <w:r w:rsidR="008E557F" w:rsidRPr="008E557F">
        <w:rPr>
          <w:rFonts w:cs="Arial"/>
          <w:noProof/>
          <w:szCs w:val="24"/>
        </w:rPr>
        <w:t xml:space="preserve">Darmawan, I. G. B., Setijadji, L. D., &amp; Wintolo, D. (2015). Geology and Geothermal System in Rajabasa Volcano South Lampung Regency, Indonesia (Approach to Field Observations, Water Geochemistry and Magnetic Method). </w:t>
      </w:r>
      <w:r w:rsidR="008E557F" w:rsidRPr="008E557F">
        <w:rPr>
          <w:rFonts w:cs="Arial"/>
          <w:i/>
          <w:iCs/>
          <w:noProof/>
          <w:szCs w:val="24"/>
        </w:rPr>
        <w:t>Proceedings World Geothermal Congress</w:t>
      </w:r>
      <w:r w:rsidR="008460C7">
        <w:rPr>
          <w:rFonts w:cs="Arial"/>
          <w:noProof/>
          <w:szCs w:val="24"/>
        </w:rPr>
        <w:t xml:space="preserve">, </w:t>
      </w:r>
      <w:r w:rsidR="008460C7" w:rsidRPr="008460C7">
        <w:rPr>
          <w:rFonts w:cs="Arial"/>
          <w:i/>
          <w:iCs/>
          <w:noProof/>
          <w:szCs w:val="24"/>
        </w:rPr>
        <w:t>12</w:t>
      </w:r>
      <w:r w:rsidR="008460C7" w:rsidRPr="008460C7">
        <w:rPr>
          <w:rFonts w:cs="Arial"/>
          <w:noProof/>
          <w:szCs w:val="24"/>
        </w:rPr>
        <w:t>, 1-10.</w:t>
      </w:r>
    </w:p>
    <w:p w14:paraId="5202BEEB" w14:textId="77777777" w:rsidR="008E557F" w:rsidRPr="008E557F" w:rsidRDefault="008E557F" w:rsidP="008E557F">
      <w:pPr>
        <w:widowControl w:val="0"/>
        <w:autoSpaceDE w:val="0"/>
        <w:autoSpaceDN w:val="0"/>
        <w:adjustRightInd w:val="0"/>
        <w:ind w:left="480" w:hanging="480"/>
        <w:rPr>
          <w:rFonts w:cs="Arial"/>
          <w:noProof/>
          <w:szCs w:val="24"/>
        </w:rPr>
      </w:pPr>
      <w:r w:rsidRPr="008E557F">
        <w:rPr>
          <w:rFonts w:cs="Arial"/>
          <w:noProof/>
          <w:szCs w:val="24"/>
        </w:rPr>
        <w:t xml:space="preserve">Putra, D. B. E., Samsudin, A. R., &amp; Choanji, T. (2016). Geophysical Modelling Using Gravity Data Of Meteorite Impact Crater At Bukit Bunuh, Lenggong, Perak, Malaysia. </w:t>
      </w:r>
      <w:r w:rsidRPr="008E557F">
        <w:rPr>
          <w:rFonts w:cs="Arial"/>
          <w:i/>
          <w:iCs/>
          <w:noProof/>
          <w:szCs w:val="24"/>
        </w:rPr>
        <w:t>Proceeding of The 7th Indonesia Japan Joint Scientific Symposium</w:t>
      </w:r>
      <w:r w:rsidRPr="008E557F">
        <w:rPr>
          <w:rFonts w:cs="Arial"/>
          <w:noProof/>
          <w:szCs w:val="24"/>
        </w:rPr>
        <w:t xml:space="preserve">, </w:t>
      </w:r>
      <w:r w:rsidRPr="008E557F">
        <w:rPr>
          <w:rFonts w:cs="Arial"/>
          <w:i/>
          <w:iCs/>
          <w:noProof/>
          <w:szCs w:val="24"/>
        </w:rPr>
        <w:t>1</w:t>
      </w:r>
      <w:r w:rsidRPr="008E557F">
        <w:rPr>
          <w:rFonts w:cs="Arial"/>
          <w:noProof/>
          <w:szCs w:val="24"/>
        </w:rPr>
        <w:t>, 515–524.</w:t>
      </w:r>
    </w:p>
    <w:p w14:paraId="36B3DC50" w14:textId="152413A8" w:rsidR="009407E9" w:rsidRDefault="009407E9" w:rsidP="00E95323">
      <w:pPr>
        <w:jc w:val="both"/>
        <w:rPr>
          <w:b/>
          <w:iCs/>
          <w:color w:val="000000"/>
          <w:szCs w:val="20"/>
        </w:rPr>
      </w:pPr>
      <w:r>
        <w:fldChar w:fldCharType="end"/>
      </w:r>
      <w:r w:rsidR="00612C55" w:rsidRPr="00612C55">
        <w:t xml:space="preserve"> </w:t>
      </w:r>
      <w:r w:rsidR="00612C55" w:rsidRPr="00612C55">
        <w:rPr>
          <w:b/>
          <w:i/>
          <w:iCs/>
          <w:color w:val="000000"/>
          <w:szCs w:val="20"/>
        </w:rPr>
        <w:t xml:space="preserve">References in </w:t>
      </w:r>
      <w:r w:rsidRPr="00AC67B8">
        <w:rPr>
          <w:b/>
          <w:i/>
          <w:iCs/>
          <w:color w:val="000000"/>
          <w:szCs w:val="20"/>
        </w:rPr>
        <w:t>thesis:</w:t>
      </w:r>
    </w:p>
    <w:p w14:paraId="2D17B3C4" w14:textId="77777777" w:rsidR="00B0423C" w:rsidRPr="00503EA5" w:rsidRDefault="00B0423C" w:rsidP="00846DBC">
      <w:pPr>
        <w:widowControl w:val="0"/>
        <w:autoSpaceDE w:val="0"/>
        <w:autoSpaceDN w:val="0"/>
        <w:adjustRightInd w:val="0"/>
        <w:ind w:left="480" w:hanging="480"/>
        <w:jc w:val="both"/>
        <w:rPr>
          <w:rFonts w:cs="Arial"/>
          <w:noProof/>
          <w:szCs w:val="24"/>
        </w:rPr>
      </w:pPr>
      <w:r w:rsidRPr="00503EA5">
        <w:rPr>
          <w:rFonts w:cs="Arial"/>
          <w:noProof/>
          <w:szCs w:val="24"/>
        </w:rPr>
        <w:t xml:space="preserve">Kippenberg, T. J. A. (2004). Nonlinear Optics in Ultra-high-Q Whispering-Gallery Optical Microcavities. </w:t>
      </w:r>
      <w:r w:rsidRPr="00B0423C">
        <w:rPr>
          <w:rFonts w:cs="Arial"/>
          <w:i/>
          <w:noProof/>
          <w:szCs w:val="24"/>
        </w:rPr>
        <w:t>PhD Thesis</w:t>
      </w:r>
      <w:r>
        <w:rPr>
          <w:rFonts w:cs="Arial"/>
          <w:noProof/>
          <w:szCs w:val="24"/>
        </w:rPr>
        <w:t xml:space="preserve">. </w:t>
      </w:r>
      <w:r w:rsidRPr="00503EA5">
        <w:rPr>
          <w:rFonts w:cs="Arial"/>
          <w:noProof/>
          <w:szCs w:val="24"/>
        </w:rPr>
        <w:t>Caltech Institute.</w:t>
      </w:r>
    </w:p>
    <w:p w14:paraId="322A9155" w14:textId="70EB0E0A" w:rsidR="009407E9" w:rsidRDefault="00612C55" w:rsidP="00E95323">
      <w:pPr>
        <w:jc w:val="both"/>
        <w:rPr>
          <w:iCs/>
          <w:color w:val="000000"/>
          <w:szCs w:val="20"/>
        </w:rPr>
      </w:pPr>
      <w:r w:rsidRPr="00612C55">
        <w:rPr>
          <w:b/>
          <w:i/>
          <w:iCs/>
          <w:color w:val="000000"/>
          <w:szCs w:val="20"/>
        </w:rPr>
        <w:t xml:space="preserve">References in </w:t>
      </w:r>
      <w:r w:rsidR="009407E9" w:rsidRPr="00AC67B8">
        <w:rPr>
          <w:b/>
          <w:i/>
          <w:iCs/>
          <w:color w:val="000000"/>
          <w:szCs w:val="20"/>
        </w:rPr>
        <w:t>HandBook:</w:t>
      </w:r>
    </w:p>
    <w:p w14:paraId="26163928" w14:textId="47430B5A" w:rsidR="003D3F43" w:rsidRDefault="009C49B7" w:rsidP="009C49B7">
      <w:pPr>
        <w:ind w:left="482" w:hanging="482"/>
        <w:rPr>
          <w:rFonts w:cs="Arial"/>
          <w:noProof/>
          <w:szCs w:val="24"/>
        </w:rPr>
      </w:pPr>
      <w:r w:rsidRPr="008E557F">
        <w:rPr>
          <w:rFonts w:cs="Arial"/>
          <w:noProof/>
          <w:szCs w:val="24"/>
        </w:rPr>
        <w:t xml:space="preserve">Kemp, A. C., &amp; Telford, R. J. (2015). Transfer functions. In </w:t>
      </w:r>
      <w:r w:rsidRPr="008E557F">
        <w:rPr>
          <w:rFonts w:cs="Arial"/>
          <w:i/>
          <w:iCs/>
          <w:noProof/>
          <w:szCs w:val="24"/>
        </w:rPr>
        <w:t>Handbook of Sea-Level Research</w:t>
      </w:r>
      <w:r w:rsidRPr="008E557F">
        <w:rPr>
          <w:rFonts w:cs="Arial"/>
          <w:noProof/>
          <w:szCs w:val="24"/>
        </w:rPr>
        <w:t xml:space="preserve"> (hal. 470–499). Wiley Blackwell. https://doi.org/10.1002/9781118452547.ch31</w:t>
      </w:r>
    </w:p>
    <w:p w14:paraId="108779E9" w14:textId="2EA973D5" w:rsidR="005067FB" w:rsidRDefault="00C970C7" w:rsidP="00E95323">
      <w:pPr>
        <w:rPr>
          <w:b/>
          <w:i/>
        </w:rPr>
      </w:pPr>
      <w:r w:rsidRPr="00C970C7">
        <w:rPr>
          <w:b/>
          <w:i/>
        </w:rPr>
        <w:t>Reference from Internet</w:t>
      </w:r>
      <w:r>
        <w:rPr>
          <w:b/>
          <w:i/>
        </w:rPr>
        <w:t>:</w:t>
      </w:r>
    </w:p>
    <w:p w14:paraId="30AF17E5" w14:textId="7C554B1A" w:rsidR="00402004" w:rsidRPr="003D3F43" w:rsidRDefault="003D3F43" w:rsidP="00B42B85">
      <w:pPr>
        <w:ind w:left="567" w:hanging="567"/>
        <w:rPr>
          <w:bCs/>
          <w:iCs/>
        </w:rPr>
        <w:sectPr w:rsidR="00402004" w:rsidRPr="003D3F43" w:rsidSect="00ED1FF2">
          <w:type w:val="continuous"/>
          <w:pgSz w:w="11907" w:h="16839" w:code="9"/>
          <w:pgMar w:top="1134" w:right="1134" w:bottom="1134" w:left="1418" w:header="567" w:footer="720" w:gutter="0"/>
          <w:cols w:num="2" w:space="284"/>
          <w:docGrid w:linePitch="360"/>
        </w:sectPr>
      </w:pPr>
      <w:r w:rsidRPr="003D3F43">
        <w:rPr>
          <w:bCs/>
          <w:iCs/>
          <w:lang w:val="en-ID"/>
        </w:rPr>
        <w:t xml:space="preserve">Bustan, M. T. S. (2019). Alat Pendeteksi Gempa BMKG Palu Dicuri. </w:t>
      </w:r>
      <w:r w:rsidR="009C49B7">
        <w:rPr>
          <w:bCs/>
          <w:iCs/>
          <w:lang w:val="en-ID"/>
        </w:rPr>
        <w:t>Diakses pada</w:t>
      </w:r>
      <w:r w:rsidRPr="003D3F43">
        <w:rPr>
          <w:bCs/>
          <w:iCs/>
          <w:lang w:val="en-ID"/>
        </w:rPr>
        <w:t xml:space="preserve"> </w:t>
      </w:r>
      <w:r w:rsidR="009C49B7">
        <w:rPr>
          <w:bCs/>
          <w:iCs/>
          <w:lang w:val="en-ID"/>
        </w:rPr>
        <w:t>18 Agustus</w:t>
      </w:r>
      <w:r w:rsidRPr="003D3F43">
        <w:rPr>
          <w:bCs/>
          <w:iCs/>
          <w:lang w:val="en-ID"/>
        </w:rPr>
        <w:t xml:space="preserve">, 2019, </w:t>
      </w:r>
      <w:r w:rsidR="009C49B7">
        <w:rPr>
          <w:bCs/>
          <w:iCs/>
          <w:lang w:val="en-ID"/>
        </w:rPr>
        <w:t xml:space="preserve">dari </w:t>
      </w:r>
      <w:hyperlink r:id="rId24" w:history="1">
        <w:r w:rsidRPr="00F04DA5">
          <w:rPr>
            <w:rStyle w:val="Hyperlink"/>
            <w:bCs/>
            <w:iCs/>
            <w:lang w:val="en-ID"/>
          </w:rPr>
          <w:t>https://mediaindonesia.com/read/detail/249 393-alat-pendeteksi-gempa-bmkg-palu-dicuri</w:t>
        </w:r>
      </w:hyperlink>
    </w:p>
    <w:p w14:paraId="48347060" w14:textId="77777777" w:rsidR="00AD56E7" w:rsidRPr="00AD56E7" w:rsidRDefault="00AD56E7" w:rsidP="00B42B85">
      <w:pPr>
        <w:jc w:val="both"/>
        <w:rPr>
          <w:rFonts w:cs="Arial"/>
        </w:rPr>
      </w:pPr>
    </w:p>
    <w:sectPr w:rsidR="00AD56E7" w:rsidRPr="00AD56E7" w:rsidSect="00D77B2C">
      <w:type w:val="continuous"/>
      <w:pgSz w:w="11907" w:h="16839" w:code="9"/>
      <w:pgMar w:top="1134" w:right="1134" w:bottom="1134" w:left="1418" w:header="283"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0174" w14:textId="77777777" w:rsidR="00AC55AF" w:rsidRDefault="00AC55AF" w:rsidP="00094C84">
      <w:r>
        <w:separator/>
      </w:r>
    </w:p>
  </w:endnote>
  <w:endnote w:type="continuationSeparator" w:id="0">
    <w:p w14:paraId="794916D1" w14:textId="77777777" w:rsidR="00AC55AF" w:rsidRDefault="00AC55AF" w:rsidP="000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98E" w14:textId="77777777" w:rsidR="001839B8" w:rsidRDefault="0018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4A6" w14:textId="294CC6AC" w:rsidR="00B42B85" w:rsidRDefault="00012C7A" w:rsidP="00C318F3">
    <w:pPr>
      <w:tabs>
        <w:tab w:val="center" w:pos="4320"/>
        <w:tab w:val="left" w:pos="5954"/>
      </w:tabs>
      <w:rPr>
        <w:rFonts w:eastAsia="Times New Roman" w:cs="Arial"/>
        <w:color w:val="000000"/>
        <w:sz w:val="16"/>
        <w:szCs w:val="16"/>
      </w:rPr>
    </w:pPr>
    <w:bookmarkStart w:id="0" w:name="_Hlk39783572"/>
    <w:bookmarkStart w:id="1" w:name="_Hlk39783573"/>
    <w:r w:rsidRPr="009F6F89">
      <w:rPr>
        <w:sz w:val="16"/>
        <w:szCs w:val="16"/>
      </w:rPr>
      <w:t>ISSN 2722-3647</w:t>
    </w:r>
    <w:r w:rsidRPr="009F6F89">
      <w:rPr>
        <w:rFonts w:eastAsia="Times New Roman" w:cs="Arial"/>
        <w:sz w:val="16"/>
        <w:szCs w:val="16"/>
      </w:rPr>
      <w:tab/>
    </w:r>
    <w:r w:rsidR="00C318F3">
      <w:rPr>
        <w:rFonts w:eastAsia="Times New Roman" w:cs="Arial"/>
        <w:sz w:val="16"/>
        <w:szCs w:val="16"/>
      </w:rPr>
      <w:tab/>
    </w:r>
    <w:r w:rsidRPr="009F6F89">
      <w:rPr>
        <w:rFonts w:eastAsia="Times New Roman" w:cs="Arial"/>
        <w:sz w:val="16"/>
        <w:szCs w:val="16"/>
      </w:rPr>
      <w:t xml:space="preserve">Available online at </w:t>
    </w:r>
    <w:hyperlink r:id="rId1" w:history="1">
      <w:r w:rsidRPr="009F6F89">
        <w:rPr>
          <w:rFonts w:eastAsia="Times New Roman" w:cs="Arial"/>
          <w:color w:val="000000"/>
          <w:sz w:val="16"/>
          <w:szCs w:val="16"/>
        </w:rPr>
        <w:t>https://jgrs.eng.unila.ac.id/</w:t>
      </w:r>
    </w:hyperlink>
  </w:p>
  <w:bookmarkEnd w:id="0"/>
  <w:bookmarkEnd w:id="1"/>
  <w:p w14:paraId="776D45AA" w14:textId="2AF8F0BB" w:rsidR="009654CB" w:rsidRPr="00B42B85" w:rsidRDefault="00012C7A" w:rsidP="00C318F3">
    <w:pPr>
      <w:pStyle w:val="Footer"/>
      <w:tabs>
        <w:tab w:val="left" w:pos="5954"/>
      </w:tabs>
      <w:rPr>
        <w:color w:val="FFFFFF" w:themeColor="background1"/>
        <w:sz w:val="16"/>
        <w:szCs w:val="16"/>
      </w:rPr>
    </w:pPr>
    <w:r w:rsidRPr="009F6F89">
      <w:rPr>
        <w:rFonts w:eastAsia="Times New Roman" w:cs="Arial"/>
        <w:sz w:val="16"/>
        <w:szCs w:val="16"/>
      </w:rPr>
      <w:t>ISSN 2722-3639 (e)</w:t>
    </w:r>
    <w:r w:rsidR="00B42B85">
      <w:rPr>
        <w:rFonts w:eastAsia="Times New Roman" w:cs="Arial"/>
        <w:sz w:val="16"/>
        <w:szCs w:val="16"/>
      </w:rPr>
      <w:tab/>
    </w:r>
    <w:r w:rsidR="00B42B85">
      <w:rPr>
        <w:rFonts w:eastAsia="Times New Roman" w:cs="Arial"/>
        <w:sz w:val="16"/>
        <w:szCs w:val="16"/>
      </w:rPr>
      <w:tab/>
      <w:t>DOI</w:t>
    </w:r>
    <w:r w:rsidR="00B42B85" w:rsidRPr="00CB642F">
      <w:rPr>
        <w:rFonts w:eastAsia="Times New Roman" w:cs="Arial"/>
        <w:sz w:val="16"/>
        <w:szCs w:val="16"/>
      </w:rPr>
      <w:t>:</w:t>
    </w:r>
    <w:r w:rsidR="00B42B85" w:rsidRPr="00CB642F">
      <w:t xml:space="preserve"> </w:t>
    </w:r>
    <w:hyperlink r:id="rId2" w:history="1">
      <w:r w:rsidR="00CB642F" w:rsidRPr="00D34248">
        <w:rPr>
          <w:rStyle w:val="Hyperlink"/>
          <w:sz w:val="16"/>
          <w:szCs w:val="18"/>
        </w:rPr>
        <w:t>https://doi.org/10.23960/jgrs</w:t>
      </w:r>
    </w:hyperlink>
    <w:r w:rsidR="00CB642F">
      <w:rPr>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6C9" w14:textId="77777777" w:rsidR="001839B8" w:rsidRDefault="0018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46C8" w14:textId="77777777" w:rsidR="00AC55AF" w:rsidRDefault="00AC55AF" w:rsidP="00094C84">
      <w:r>
        <w:separator/>
      </w:r>
    </w:p>
  </w:footnote>
  <w:footnote w:type="continuationSeparator" w:id="0">
    <w:p w14:paraId="34AD285A" w14:textId="77777777" w:rsidR="00AC55AF" w:rsidRDefault="00AC55AF" w:rsidP="000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8E3F" w14:textId="77777777" w:rsidR="001839B8" w:rsidRDefault="0018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1348"/>
      <w:gridCol w:w="6986"/>
      <w:gridCol w:w="1164"/>
    </w:tblGrid>
    <w:tr w:rsidR="00094C84" w:rsidRPr="00094C84" w14:paraId="4D971A0F" w14:textId="77777777" w:rsidTr="00E13E7E">
      <w:trPr>
        <w:trHeight w:val="709"/>
      </w:trPr>
      <w:tc>
        <w:tcPr>
          <w:tcW w:w="1348" w:type="dxa"/>
          <w:shd w:val="clear" w:color="auto" w:fill="auto"/>
          <w:vAlign w:val="center"/>
        </w:tcPr>
        <w:p w14:paraId="7CF4F417" w14:textId="77777777" w:rsidR="00094C84" w:rsidRPr="00094C84" w:rsidRDefault="00094C84" w:rsidP="00ED1FF2">
          <w:pPr>
            <w:tabs>
              <w:tab w:val="center" w:pos="4320"/>
              <w:tab w:val="right" w:pos="8640"/>
            </w:tabs>
            <w:rPr>
              <w:rFonts w:ascii="Times New Roman" w:eastAsia="Times New Roman" w:hAnsi="Times New Roman"/>
              <w:sz w:val="24"/>
              <w:szCs w:val="24"/>
            </w:rPr>
          </w:pPr>
        </w:p>
      </w:tc>
      <w:tc>
        <w:tcPr>
          <w:tcW w:w="6989" w:type="dxa"/>
          <w:shd w:val="clear" w:color="auto" w:fill="auto"/>
          <w:vAlign w:val="center"/>
        </w:tcPr>
        <w:p w14:paraId="5C45217F" w14:textId="57700E7A" w:rsidR="00094C84" w:rsidRPr="00817557" w:rsidRDefault="001839B8" w:rsidP="00094C84">
          <w:pPr>
            <w:tabs>
              <w:tab w:val="center" w:pos="4320"/>
              <w:tab w:val="right" w:pos="8640"/>
            </w:tabs>
            <w:jc w:val="right"/>
            <w:rPr>
              <w:rFonts w:ascii="Times New Roman" w:eastAsia="Times New Roman" w:hAnsi="Times New Roman"/>
              <w:b/>
              <w:i/>
              <w:sz w:val="16"/>
              <w:szCs w:val="16"/>
            </w:rPr>
          </w:pPr>
          <w:r>
            <w:rPr>
              <w:rFonts w:eastAsia="Times New Roman" w:cs="Arial"/>
              <w:i/>
              <w:szCs w:val="20"/>
            </w:rPr>
            <w:t>Manuscript for</w:t>
          </w:r>
          <w:r w:rsidR="000A1F58">
            <w:rPr>
              <w:rFonts w:eastAsia="Times New Roman" w:cs="Arial"/>
              <w:i/>
              <w:szCs w:val="20"/>
            </w:rPr>
            <w:t xml:space="preserve"> </w:t>
          </w:r>
          <w:r w:rsidR="00EB6C4B" w:rsidRPr="00817557">
            <w:rPr>
              <w:rFonts w:eastAsia="Times New Roman" w:cs="Arial"/>
              <w:i/>
              <w:szCs w:val="20"/>
            </w:rPr>
            <w:t xml:space="preserve">Jurnal Geosains dan Remote Sensing </w:t>
          </w:r>
          <w:r w:rsidR="002161EB">
            <w:rPr>
              <w:rFonts w:eastAsia="Times New Roman" w:cs="Arial"/>
              <w:i/>
              <w:szCs w:val="20"/>
            </w:rPr>
            <w:t>(JGRS</w:t>
          </w:r>
          <w:r w:rsidR="006F4957">
            <w:rPr>
              <w:rFonts w:eastAsia="Times New Roman" w:cs="Arial"/>
              <w:i/>
              <w:szCs w:val="20"/>
            </w:rPr>
            <w:t>)</w:t>
          </w:r>
        </w:p>
      </w:tc>
      <w:tc>
        <w:tcPr>
          <w:tcW w:w="1161" w:type="dxa"/>
          <w:shd w:val="clear" w:color="auto" w:fill="auto"/>
          <w:vAlign w:val="center"/>
        </w:tcPr>
        <w:p w14:paraId="6322EAD0" w14:textId="2FA32E47" w:rsidR="00094C84" w:rsidRPr="00094C84" w:rsidRDefault="00B42B85" w:rsidP="00094C84">
          <w:pPr>
            <w:tabs>
              <w:tab w:val="center" w:pos="4320"/>
              <w:tab w:val="right" w:pos="8640"/>
            </w:tabs>
            <w:jc w:val="right"/>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3B7EC13" wp14:editId="071444E1">
                <wp:extent cx="601980" cy="358140"/>
                <wp:effectExtent l="0" t="0" r="0" b="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58140"/>
                        </a:xfrm>
                        <a:prstGeom prst="rect">
                          <a:avLst/>
                        </a:prstGeom>
                        <a:noFill/>
                        <a:ln>
                          <a:noFill/>
                        </a:ln>
                      </pic:spPr>
                    </pic:pic>
                  </a:graphicData>
                </a:graphic>
              </wp:inline>
            </w:drawing>
          </w:r>
        </w:p>
      </w:tc>
    </w:tr>
  </w:tbl>
  <w:p w14:paraId="38CF8BE3" w14:textId="77777777" w:rsidR="00094C84" w:rsidRDefault="00094C84" w:rsidP="00107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091D" w14:textId="77777777" w:rsidR="001839B8" w:rsidRDefault="00183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554"/>
      <w:gridCol w:w="801"/>
    </w:tblGrid>
    <w:tr w:rsidR="000F0D23" w:rsidRPr="006570FD" w14:paraId="54B641C0" w14:textId="77777777" w:rsidTr="006570FD">
      <w:tc>
        <w:tcPr>
          <w:tcW w:w="8755" w:type="dxa"/>
          <w:shd w:val="clear" w:color="auto" w:fill="auto"/>
        </w:tcPr>
        <w:p w14:paraId="194857D7" w14:textId="72377A8E" w:rsidR="000F0D23" w:rsidRPr="006570FD" w:rsidRDefault="000A1F58" w:rsidP="00EB6C4B">
          <w:pPr>
            <w:tabs>
              <w:tab w:val="center" w:pos="4320"/>
              <w:tab w:val="right" w:pos="8640"/>
            </w:tabs>
            <w:jc w:val="center"/>
            <w:rPr>
              <w:szCs w:val="20"/>
            </w:rPr>
          </w:pPr>
          <w:r>
            <w:rPr>
              <w:rFonts w:eastAsia="Times New Roman" w:cs="Arial"/>
              <w:i/>
              <w:szCs w:val="20"/>
            </w:rPr>
            <w:t xml:space="preserve">Naskah Untuk </w:t>
          </w:r>
          <w:r w:rsidRPr="00817557">
            <w:rPr>
              <w:rFonts w:eastAsia="Times New Roman" w:cs="Arial"/>
              <w:i/>
              <w:szCs w:val="20"/>
            </w:rPr>
            <w:t xml:space="preserve">Jurnal Geosains dan Remote Sensing </w:t>
          </w:r>
          <w:r>
            <w:rPr>
              <w:rFonts w:eastAsia="Times New Roman" w:cs="Arial"/>
              <w:i/>
              <w:szCs w:val="20"/>
            </w:rPr>
            <w:t>(JGRS</w:t>
          </w:r>
          <w:r w:rsidR="006F4957">
            <w:rPr>
              <w:rFonts w:eastAsia="Times New Roman" w:cs="Arial"/>
              <w:i/>
              <w:szCs w:val="20"/>
            </w:rPr>
            <w:t>)</w:t>
          </w:r>
        </w:p>
      </w:tc>
      <w:tc>
        <w:tcPr>
          <w:tcW w:w="816" w:type="dxa"/>
          <w:shd w:val="clear" w:color="auto" w:fill="auto"/>
        </w:tcPr>
        <w:p w14:paraId="075EA395" w14:textId="759C3CFC" w:rsidR="000F0D23" w:rsidRPr="006570FD" w:rsidRDefault="000F0D23" w:rsidP="006570FD">
          <w:pPr>
            <w:pStyle w:val="Header"/>
            <w:jc w:val="right"/>
            <w:rPr>
              <w:szCs w:val="20"/>
            </w:rPr>
          </w:pPr>
        </w:p>
      </w:tc>
    </w:tr>
  </w:tbl>
  <w:p w14:paraId="6F054C8C" w14:textId="77777777" w:rsidR="00C6724D" w:rsidRPr="002433B2" w:rsidRDefault="00C6724D" w:rsidP="002761A8">
    <w:pPr>
      <w:tabs>
        <w:tab w:val="center" w:pos="4320"/>
        <w:tab w:val="right" w:pos="8640"/>
      </w:tabs>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TU3NrQwN7Y0MbFU0lEKTi0uzszPAymwrAUAIbYaQCwAAAA="/>
  </w:docVars>
  <w:rsids>
    <w:rsidRoot w:val="001B4E28"/>
    <w:rsid w:val="00012C7A"/>
    <w:rsid w:val="000236EE"/>
    <w:rsid w:val="00033A7C"/>
    <w:rsid w:val="00037706"/>
    <w:rsid w:val="00044A9D"/>
    <w:rsid w:val="00052E6B"/>
    <w:rsid w:val="00053520"/>
    <w:rsid w:val="00081FE7"/>
    <w:rsid w:val="0008564D"/>
    <w:rsid w:val="00086F78"/>
    <w:rsid w:val="00094C84"/>
    <w:rsid w:val="000A1F58"/>
    <w:rsid w:val="000A254F"/>
    <w:rsid w:val="000A4527"/>
    <w:rsid w:val="000A5344"/>
    <w:rsid w:val="000A6977"/>
    <w:rsid w:val="000A71F9"/>
    <w:rsid w:val="000B7C33"/>
    <w:rsid w:val="000E1C56"/>
    <w:rsid w:val="000E281A"/>
    <w:rsid w:val="000F0D23"/>
    <w:rsid w:val="00100CAF"/>
    <w:rsid w:val="00107DBD"/>
    <w:rsid w:val="00146723"/>
    <w:rsid w:val="00175366"/>
    <w:rsid w:val="00181694"/>
    <w:rsid w:val="001839B8"/>
    <w:rsid w:val="00192E0B"/>
    <w:rsid w:val="001A426B"/>
    <w:rsid w:val="001A4E80"/>
    <w:rsid w:val="001A56EB"/>
    <w:rsid w:val="001B2445"/>
    <w:rsid w:val="001B4E28"/>
    <w:rsid w:val="001D257D"/>
    <w:rsid w:val="001D5395"/>
    <w:rsid w:val="001E0922"/>
    <w:rsid w:val="001F3E1C"/>
    <w:rsid w:val="00215A43"/>
    <w:rsid w:val="002161EB"/>
    <w:rsid w:val="002218CC"/>
    <w:rsid w:val="00240238"/>
    <w:rsid w:val="002422EA"/>
    <w:rsid w:val="00242A3A"/>
    <w:rsid w:val="002433B2"/>
    <w:rsid w:val="002552F7"/>
    <w:rsid w:val="00265C00"/>
    <w:rsid w:val="002761A8"/>
    <w:rsid w:val="002830AB"/>
    <w:rsid w:val="002A7D47"/>
    <w:rsid w:val="002B7B96"/>
    <w:rsid w:val="002D20D2"/>
    <w:rsid w:val="002D37D0"/>
    <w:rsid w:val="002E60DC"/>
    <w:rsid w:val="002F0A7A"/>
    <w:rsid w:val="0033533E"/>
    <w:rsid w:val="003361C7"/>
    <w:rsid w:val="003514F8"/>
    <w:rsid w:val="00385DA7"/>
    <w:rsid w:val="00387E09"/>
    <w:rsid w:val="00392AD1"/>
    <w:rsid w:val="00394035"/>
    <w:rsid w:val="00395E77"/>
    <w:rsid w:val="003974F5"/>
    <w:rsid w:val="003A0D6E"/>
    <w:rsid w:val="003A530F"/>
    <w:rsid w:val="003B2212"/>
    <w:rsid w:val="003D3F43"/>
    <w:rsid w:val="003D4221"/>
    <w:rsid w:val="003E7337"/>
    <w:rsid w:val="00402004"/>
    <w:rsid w:val="00411D18"/>
    <w:rsid w:val="004203C8"/>
    <w:rsid w:val="004232BA"/>
    <w:rsid w:val="004379B9"/>
    <w:rsid w:val="00440F99"/>
    <w:rsid w:val="004502EE"/>
    <w:rsid w:val="004516F9"/>
    <w:rsid w:val="004546D4"/>
    <w:rsid w:val="00465697"/>
    <w:rsid w:val="004656FF"/>
    <w:rsid w:val="004734FA"/>
    <w:rsid w:val="00490CB8"/>
    <w:rsid w:val="004C3671"/>
    <w:rsid w:val="004D37F7"/>
    <w:rsid w:val="004E117C"/>
    <w:rsid w:val="004F7CFE"/>
    <w:rsid w:val="0050071B"/>
    <w:rsid w:val="00503EA5"/>
    <w:rsid w:val="005067FB"/>
    <w:rsid w:val="005425BF"/>
    <w:rsid w:val="00570084"/>
    <w:rsid w:val="0058647B"/>
    <w:rsid w:val="00590F22"/>
    <w:rsid w:val="005926C2"/>
    <w:rsid w:val="0059324E"/>
    <w:rsid w:val="00597A1D"/>
    <w:rsid w:val="005A3E41"/>
    <w:rsid w:val="005B4B8F"/>
    <w:rsid w:val="005C4698"/>
    <w:rsid w:val="0060750C"/>
    <w:rsid w:val="00612A88"/>
    <w:rsid w:val="00612C55"/>
    <w:rsid w:val="00614E6D"/>
    <w:rsid w:val="006547EC"/>
    <w:rsid w:val="00655F5D"/>
    <w:rsid w:val="006570FD"/>
    <w:rsid w:val="0066546F"/>
    <w:rsid w:val="006A1FB4"/>
    <w:rsid w:val="006B786B"/>
    <w:rsid w:val="006E33AC"/>
    <w:rsid w:val="006E452F"/>
    <w:rsid w:val="006F4957"/>
    <w:rsid w:val="006F7D83"/>
    <w:rsid w:val="00707801"/>
    <w:rsid w:val="007218E6"/>
    <w:rsid w:val="007237DF"/>
    <w:rsid w:val="00724DA9"/>
    <w:rsid w:val="007305CA"/>
    <w:rsid w:val="00741964"/>
    <w:rsid w:val="007804BD"/>
    <w:rsid w:val="007828DC"/>
    <w:rsid w:val="0079232B"/>
    <w:rsid w:val="007A70B8"/>
    <w:rsid w:val="007B2AA7"/>
    <w:rsid w:val="007C1A67"/>
    <w:rsid w:val="007C59DA"/>
    <w:rsid w:val="007E39A9"/>
    <w:rsid w:val="007E7746"/>
    <w:rsid w:val="007F3BBE"/>
    <w:rsid w:val="00800AA6"/>
    <w:rsid w:val="00803135"/>
    <w:rsid w:val="00817557"/>
    <w:rsid w:val="00826DCD"/>
    <w:rsid w:val="00833D57"/>
    <w:rsid w:val="008460C7"/>
    <w:rsid w:val="0084678D"/>
    <w:rsid w:val="00846DBC"/>
    <w:rsid w:val="00873EDB"/>
    <w:rsid w:val="00895422"/>
    <w:rsid w:val="008B4596"/>
    <w:rsid w:val="008C5861"/>
    <w:rsid w:val="008E10E3"/>
    <w:rsid w:val="008E557F"/>
    <w:rsid w:val="008F6761"/>
    <w:rsid w:val="008F6F17"/>
    <w:rsid w:val="0090310F"/>
    <w:rsid w:val="009039C1"/>
    <w:rsid w:val="009177D9"/>
    <w:rsid w:val="00922CE1"/>
    <w:rsid w:val="009261F4"/>
    <w:rsid w:val="00927E1C"/>
    <w:rsid w:val="009325F8"/>
    <w:rsid w:val="00937B70"/>
    <w:rsid w:val="009407E9"/>
    <w:rsid w:val="00960EC5"/>
    <w:rsid w:val="009654CB"/>
    <w:rsid w:val="00972FAD"/>
    <w:rsid w:val="00973520"/>
    <w:rsid w:val="00976406"/>
    <w:rsid w:val="00992E58"/>
    <w:rsid w:val="009B4053"/>
    <w:rsid w:val="009B4D54"/>
    <w:rsid w:val="009C49B7"/>
    <w:rsid w:val="009D1EBD"/>
    <w:rsid w:val="009D649D"/>
    <w:rsid w:val="009F346B"/>
    <w:rsid w:val="00A170E5"/>
    <w:rsid w:val="00A27462"/>
    <w:rsid w:val="00A42DC5"/>
    <w:rsid w:val="00A4339B"/>
    <w:rsid w:val="00A80F68"/>
    <w:rsid w:val="00A9289E"/>
    <w:rsid w:val="00AA12E9"/>
    <w:rsid w:val="00AB1E84"/>
    <w:rsid w:val="00AB6016"/>
    <w:rsid w:val="00AC55AF"/>
    <w:rsid w:val="00AC5DFD"/>
    <w:rsid w:val="00AC63D5"/>
    <w:rsid w:val="00AC70C0"/>
    <w:rsid w:val="00AC7AF2"/>
    <w:rsid w:val="00AD56E7"/>
    <w:rsid w:val="00AD6792"/>
    <w:rsid w:val="00AE22FC"/>
    <w:rsid w:val="00B0423C"/>
    <w:rsid w:val="00B05D52"/>
    <w:rsid w:val="00B1414C"/>
    <w:rsid w:val="00B30AB6"/>
    <w:rsid w:val="00B42B85"/>
    <w:rsid w:val="00B67BFC"/>
    <w:rsid w:val="00B70524"/>
    <w:rsid w:val="00B91DE2"/>
    <w:rsid w:val="00B96B1E"/>
    <w:rsid w:val="00BB2406"/>
    <w:rsid w:val="00BB676D"/>
    <w:rsid w:val="00C1116A"/>
    <w:rsid w:val="00C112A2"/>
    <w:rsid w:val="00C13778"/>
    <w:rsid w:val="00C20D39"/>
    <w:rsid w:val="00C318F3"/>
    <w:rsid w:val="00C44B35"/>
    <w:rsid w:val="00C57694"/>
    <w:rsid w:val="00C6724D"/>
    <w:rsid w:val="00C75BE5"/>
    <w:rsid w:val="00C970C7"/>
    <w:rsid w:val="00CA33A5"/>
    <w:rsid w:val="00CA3EDA"/>
    <w:rsid w:val="00CB05DE"/>
    <w:rsid w:val="00CB642F"/>
    <w:rsid w:val="00CB654D"/>
    <w:rsid w:val="00CD1B2B"/>
    <w:rsid w:val="00CD1F0D"/>
    <w:rsid w:val="00CE572A"/>
    <w:rsid w:val="00D0374E"/>
    <w:rsid w:val="00D31C9B"/>
    <w:rsid w:val="00D3496D"/>
    <w:rsid w:val="00D37BF0"/>
    <w:rsid w:val="00D44BBE"/>
    <w:rsid w:val="00D52F0F"/>
    <w:rsid w:val="00D5573F"/>
    <w:rsid w:val="00D67F3C"/>
    <w:rsid w:val="00D749BB"/>
    <w:rsid w:val="00D77B2C"/>
    <w:rsid w:val="00D82995"/>
    <w:rsid w:val="00D86B94"/>
    <w:rsid w:val="00DA06FF"/>
    <w:rsid w:val="00DA3EF8"/>
    <w:rsid w:val="00DC0D3E"/>
    <w:rsid w:val="00DC23E1"/>
    <w:rsid w:val="00DC3730"/>
    <w:rsid w:val="00DE2566"/>
    <w:rsid w:val="00DE6D8B"/>
    <w:rsid w:val="00E01DAC"/>
    <w:rsid w:val="00E025D3"/>
    <w:rsid w:val="00E03163"/>
    <w:rsid w:val="00E13E7E"/>
    <w:rsid w:val="00E246F7"/>
    <w:rsid w:val="00E73995"/>
    <w:rsid w:val="00E87A47"/>
    <w:rsid w:val="00E90B08"/>
    <w:rsid w:val="00E94A85"/>
    <w:rsid w:val="00E95323"/>
    <w:rsid w:val="00E95EA2"/>
    <w:rsid w:val="00EA5ACB"/>
    <w:rsid w:val="00EB56EF"/>
    <w:rsid w:val="00EB6C4B"/>
    <w:rsid w:val="00ED1FF2"/>
    <w:rsid w:val="00EE7517"/>
    <w:rsid w:val="00EF1ECB"/>
    <w:rsid w:val="00EF6EE5"/>
    <w:rsid w:val="00F02B18"/>
    <w:rsid w:val="00F152BC"/>
    <w:rsid w:val="00F2331D"/>
    <w:rsid w:val="00F31E95"/>
    <w:rsid w:val="00F33CF4"/>
    <w:rsid w:val="00F351E5"/>
    <w:rsid w:val="00F43187"/>
    <w:rsid w:val="00F46C26"/>
    <w:rsid w:val="00F650E1"/>
    <w:rsid w:val="00F7330E"/>
    <w:rsid w:val="00F82CE2"/>
    <w:rsid w:val="00F94EE8"/>
    <w:rsid w:val="00FA43DB"/>
    <w:rsid w:val="00FC0942"/>
    <w:rsid w:val="00FD188D"/>
    <w:rsid w:val="00FD77EB"/>
    <w:rsid w:val="00FE02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752276"/>
  <w15:chartTrackingRefBased/>
  <w15:docId w15:val="{993F99FA-78AA-4209-A2E5-CE95777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FF"/>
    <w:rPr>
      <w:rFonts w:ascii="Arial" w:hAnsi="Arial"/>
      <w:szCs w:val="22"/>
      <w:lang w:val="en-US" w:eastAsia="en-US"/>
    </w:rPr>
  </w:style>
  <w:style w:type="paragraph" w:styleId="Heading1">
    <w:name w:val="heading 1"/>
    <w:basedOn w:val="Normal"/>
    <w:next w:val="Normal"/>
    <w:link w:val="Heading1Char"/>
    <w:uiPriority w:val="9"/>
    <w:qFormat/>
    <w:rsid w:val="00AD56E7"/>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CB654D"/>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84"/>
    <w:pPr>
      <w:tabs>
        <w:tab w:val="center" w:pos="4680"/>
        <w:tab w:val="right" w:pos="9360"/>
      </w:tabs>
    </w:pPr>
  </w:style>
  <w:style w:type="character" w:customStyle="1" w:styleId="HeaderChar">
    <w:name w:val="Header Char"/>
    <w:link w:val="Header"/>
    <w:uiPriority w:val="99"/>
    <w:rsid w:val="00094C84"/>
    <w:rPr>
      <w:sz w:val="22"/>
      <w:szCs w:val="22"/>
    </w:rPr>
  </w:style>
  <w:style w:type="paragraph" w:styleId="Footer">
    <w:name w:val="footer"/>
    <w:basedOn w:val="Normal"/>
    <w:link w:val="FooterChar"/>
    <w:uiPriority w:val="99"/>
    <w:unhideWhenUsed/>
    <w:rsid w:val="00094C84"/>
    <w:pPr>
      <w:tabs>
        <w:tab w:val="center" w:pos="4680"/>
        <w:tab w:val="right" w:pos="9360"/>
      </w:tabs>
    </w:pPr>
  </w:style>
  <w:style w:type="character" w:customStyle="1" w:styleId="FooterChar">
    <w:name w:val="Footer Char"/>
    <w:link w:val="Footer"/>
    <w:uiPriority w:val="99"/>
    <w:rsid w:val="00094C84"/>
    <w:rPr>
      <w:sz w:val="22"/>
      <w:szCs w:val="22"/>
    </w:rPr>
  </w:style>
  <w:style w:type="table" w:styleId="TableGrid">
    <w:name w:val="Table Grid"/>
    <w:basedOn w:val="TableNormal"/>
    <w:uiPriority w:val="39"/>
    <w:rsid w:val="00E8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56E7"/>
    <w:rPr>
      <w:rFonts w:ascii="Arial" w:eastAsia="Times New Roman" w:hAnsi="Arial" w:cs="Times New Roman"/>
      <w:b/>
      <w:bCs/>
      <w:kern w:val="32"/>
      <w:szCs w:val="32"/>
    </w:rPr>
  </w:style>
  <w:style w:type="character" w:customStyle="1" w:styleId="Heading2Char">
    <w:name w:val="Heading 2 Char"/>
    <w:link w:val="Heading2"/>
    <w:uiPriority w:val="9"/>
    <w:rsid w:val="00CB654D"/>
    <w:rPr>
      <w:rFonts w:ascii="Arial" w:eastAsia="Times New Roman" w:hAnsi="Arial" w:cs="Times New Roman"/>
      <w:b/>
      <w:bCs/>
      <w:iCs/>
      <w:szCs w:val="28"/>
    </w:rPr>
  </w:style>
  <w:style w:type="paragraph" w:customStyle="1" w:styleId="Body">
    <w:name w:val="Body"/>
    <w:basedOn w:val="BodyTextIndent"/>
    <w:rsid w:val="0058647B"/>
    <w:pPr>
      <w:suppressAutoHyphens/>
      <w:spacing w:after="0"/>
      <w:ind w:left="0" w:firstLine="567"/>
      <w:jc w:val="both"/>
    </w:pPr>
    <w:rPr>
      <w:rFonts w:ascii="Times New Roman" w:eastAsia="Times New Roman" w:hAnsi="Times New Roman"/>
      <w:szCs w:val="20"/>
      <w:lang w:eastAsia="ar-SA"/>
    </w:rPr>
  </w:style>
  <w:style w:type="paragraph" w:styleId="BodyTextIndent">
    <w:name w:val="Body Text Indent"/>
    <w:basedOn w:val="Normal"/>
    <w:link w:val="BodyTextIndentChar"/>
    <w:uiPriority w:val="99"/>
    <w:semiHidden/>
    <w:unhideWhenUsed/>
    <w:rsid w:val="0058647B"/>
    <w:pPr>
      <w:spacing w:after="120"/>
      <w:ind w:left="360"/>
    </w:pPr>
  </w:style>
  <w:style w:type="character" w:customStyle="1" w:styleId="BodyTextIndentChar">
    <w:name w:val="Body Text Indent Char"/>
    <w:link w:val="BodyTextIndent"/>
    <w:uiPriority w:val="99"/>
    <w:semiHidden/>
    <w:rsid w:val="0058647B"/>
    <w:rPr>
      <w:rFonts w:ascii="Arial" w:hAnsi="Arial"/>
      <w:szCs w:val="22"/>
    </w:rPr>
  </w:style>
  <w:style w:type="character" w:styleId="Hyperlink">
    <w:name w:val="Hyperlink"/>
    <w:uiPriority w:val="99"/>
    <w:unhideWhenUsed/>
    <w:rsid w:val="00052E6B"/>
    <w:rPr>
      <w:color w:val="0563C1"/>
      <w:u w:val="single"/>
    </w:rPr>
  </w:style>
  <w:style w:type="paragraph" w:styleId="NormalWeb">
    <w:name w:val="Normal (Web)"/>
    <w:basedOn w:val="Normal"/>
    <w:rsid w:val="00FC0942"/>
    <w:pPr>
      <w:spacing w:before="100" w:beforeAutospacing="1" w:after="11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1C9B"/>
    <w:rPr>
      <w:rFonts w:ascii="Segoe UI" w:hAnsi="Segoe UI" w:cs="Segoe UI"/>
      <w:sz w:val="18"/>
      <w:szCs w:val="18"/>
    </w:rPr>
  </w:style>
  <w:style w:type="character" w:customStyle="1" w:styleId="BalloonTextChar">
    <w:name w:val="Balloon Text Char"/>
    <w:link w:val="BalloonText"/>
    <w:uiPriority w:val="99"/>
    <w:semiHidden/>
    <w:rsid w:val="00D31C9B"/>
    <w:rPr>
      <w:rFonts w:ascii="Segoe UI" w:hAnsi="Segoe UI" w:cs="Segoe UI"/>
      <w:sz w:val="18"/>
      <w:szCs w:val="18"/>
      <w:lang w:eastAsia="en-US"/>
    </w:rPr>
  </w:style>
  <w:style w:type="character" w:styleId="UnresolvedMention">
    <w:name w:val="Unresolved Mention"/>
    <w:uiPriority w:val="99"/>
    <w:semiHidden/>
    <w:unhideWhenUsed/>
    <w:rsid w:val="003D3F43"/>
    <w:rPr>
      <w:color w:val="605E5C"/>
      <w:shd w:val="clear" w:color="auto" w:fill="E1DFDD"/>
    </w:rPr>
  </w:style>
  <w:style w:type="character" w:styleId="PlaceholderText">
    <w:name w:val="Placeholder Text"/>
    <w:basedOn w:val="DefaultParagraphFont"/>
    <w:uiPriority w:val="99"/>
    <w:semiHidden/>
    <w:rsid w:val="00B42B85"/>
    <w:rPr>
      <w:color w:val="808080"/>
    </w:rPr>
  </w:style>
  <w:style w:type="character" w:styleId="CommentReference">
    <w:name w:val="annotation reference"/>
    <w:basedOn w:val="DefaultParagraphFont"/>
    <w:uiPriority w:val="99"/>
    <w:semiHidden/>
    <w:unhideWhenUsed/>
    <w:rsid w:val="00B96B1E"/>
    <w:rPr>
      <w:sz w:val="16"/>
      <w:szCs w:val="16"/>
    </w:rPr>
  </w:style>
  <w:style w:type="paragraph" w:styleId="CommentText">
    <w:name w:val="annotation text"/>
    <w:basedOn w:val="Normal"/>
    <w:link w:val="CommentTextChar"/>
    <w:uiPriority w:val="99"/>
    <w:semiHidden/>
    <w:unhideWhenUsed/>
    <w:rsid w:val="00B96B1E"/>
    <w:rPr>
      <w:szCs w:val="20"/>
    </w:rPr>
  </w:style>
  <w:style w:type="character" w:customStyle="1" w:styleId="CommentTextChar">
    <w:name w:val="Comment Text Char"/>
    <w:basedOn w:val="DefaultParagraphFont"/>
    <w:link w:val="CommentText"/>
    <w:uiPriority w:val="99"/>
    <w:semiHidden/>
    <w:rsid w:val="00B96B1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96B1E"/>
    <w:rPr>
      <w:b/>
      <w:bCs/>
    </w:rPr>
  </w:style>
  <w:style w:type="character" w:customStyle="1" w:styleId="CommentSubjectChar">
    <w:name w:val="Comment Subject Char"/>
    <w:basedOn w:val="CommentTextChar"/>
    <w:link w:val="CommentSubject"/>
    <w:uiPriority w:val="99"/>
    <w:semiHidden/>
    <w:rsid w:val="00B96B1E"/>
    <w:rPr>
      <w:rFonts w:ascii="Arial" w:hAnsi="Arial"/>
      <w:b/>
      <w:bCs/>
      <w:lang w:val="en-US" w:eastAsia="en-US"/>
    </w:rPr>
  </w:style>
  <w:style w:type="character" w:styleId="FollowedHyperlink">
    <w:name w:val="FollowedHyperlink"/>
    <w:basedOn w:val="DefaultParagraphFont"/>
    <w:uiPriority w:val="99"/>
    <w:semiHidden/>
    <w:unhideWhenUsed/>
    <w:rsid w:val="00780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grs.eng.unila.ac.id/index.php/geo" TargetMode="External"/><Relationship Id="rId7" Type="http://schemas.openxmlformats.org/officeDocument/2006/relationships/hyperlink" Target="mailto:author@email.id" TargetMode="External"/><Relationship Id="rId12" Type="http://schemas.openxmlformats.org/officeDocument/2006/relationships/header" Target="header2.xml"/><Relationship Id="rId17" Type="http://schemas.openxmlformats.org/officeDocument/2006/relationships/hyperlink" Target="https://jgrs.eng.unila.ac.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jgrs.eng.unila.ac.id/index.php/ge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mediaindonesia.com/read/detail/249%20393-alat-pendeteksi-gempa-bmkg-palu-dicuri"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jgrs@eng.unila.ac.id" TargetMode="Externa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upload.wikimedia.org/wikipedia/commons/thumb/7/77/Open_Access_logo_PLoS_transparent.svg/142px-Open_Access_logo_PLoS_transparent.svg.png" TargetMode="External"/><Relationship Id="rId14" Type="http://schemas.openxmlformats.org/officeDocument/2006/relationships/footer" Target="footer2.xml"/><Relationship Id="rId22" Type="http://schemas.openxmlformats.org/officeDocument/2006/relationships/hyperlink" Target="https://jgrs.eng.unila.ac.id/index.php/geo/user/regist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doi.org/10.23960/jgrs" TargetMode="External"/><Relationship Id="rId1" Type="http://schemas.openxmlformats.org/officeDocument/2006/relationships/hyperlink" Target="https://jgrs.eng.unila.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62C8-5D66-4D73-9A24-158E22EB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Links>
    <vt:vector size="42" baseType="variant">
      <vt:variant>
        <vt:i4>4784219</vt:i4>
      </vt:variant>
      <vt:variant>
        <vt:i4>60</vt:i4>
      </vt:variant>
      <vt:variant>
        <vt:i4>0</vt:i4>
      </vt:variant>
      <vt:variant>
        <vt:i4>5</vt:i4>
      </vt:variant>
      <vt:variant>
        <vt:lpwstr>https://mediaindonesia.com/read/detail/249 393-alat-pendeteksi-gempa-bmkg-palu-dicuri</vt:lpwstr>
      </vt:variant>
      <vt:variant>
        <vt:lpwstr/>
      </vt:variant>
      <vt:variant>
        <vt:i4>393236</vt:i4>
      </vt:variant>
      <vt:variant>
        <vt:i4>54</vt:i4>
      </vt:variant>
      <vt:variant>
        <vt:i4>0</vt:i4>
      </vt:variant>
      <vt:variant>
        <vt:i4>5</vt:i4>
      </vt:variant>
      <vt:variant>
        <vt:lpwstr>http://csl.mendeley.com/styles/539266781/apa-jgrs</vt:lpwstr>
      </vt:variant>
      <vt:variant>
        <vt:lpwstr/>
      </vt:variant>
      <vt:variant>
        <vt:i4>1638421</vt:i4>
      </vt:variant>
      <vt:variant>
        <vt:i4>51</vt:i4>
      </vt:variant>
      <vt:variant>
        <vt:i4>0</vt:i4>
      </vt:variant>
      <vt:variant>
        <vt:i4>5</vt:i4>
      </vt:variant>
      <vt:variant>
        <vt:lpwstr>https://jgrs.eng.unila.ac.id/index.php/geo/user/register</vt:lpwstr>
      </vt:variant>
      <vt:variant>
        <vt:lpwstr/>
      </vt:variant>
      <vt:variant>
        <vt:i4>2883640</vt:i4>
      </vt:variant>
      <vt:variant>
        <vt:i4>48</vt:i4>
      </vt:variant>
      <vt:variant>
        <vt:i4>0</vt:i4>
      </vt:variant>
      <vt:variant>
        <vt:i4>5</vt:i4>
      </vt:variant>
      <vt:variant>
        <vt:lpwstr>https://jgrs.eng.unila.ac.id/index.php/geo</vt:lpwstr>
      </vt:variant>
      <vt:variant>
        <vt:lpwstr/>
      </vt:variant>
      <vt:variant>
        <vt:i4>2883640</vt:i4>
      </vt:variant>
      <vt:variant>
        <vt:i4>27</vt:i4>
      </vt:variant>
      <vt:variant>
        <vt:i4>0</vt:i4>
      </vt:variant>
      <vt:variant>
        <vt:i4>5</vt:i4>
      </vt:variant>
      <vt:variant>
        <vt:lpwstr>https://jgrs.eng.unila.ac.id/index.php/geo</vt:lpwstr>
      </vt:variant>
      <vt:variant>
        <vt:lpwstr/>
      </vt:variant>
      <vt:variant>
        <vt:i4>6029422</vt:i4>
      </vt:variant>
      <vt:variant>
        <vt:i4>0</vt:i4>
      </vt:variant>
      <vt:variant>
        <vt:i4>0</vt:i4>
      </vt:variant>
      <vt:variant>
        <vt:i4>5</vt:i4>
      </vt:variant>
      <vt:variant>
        <vt:lpwstr>mailto:jgrs@eng.unila.ac.id</vt:lpwstr>
      </vt:variant>
      <vt:variant>
        <vt:lpwstr/>
      </vt:variant>
      <vt:variant>
        <vt:i4>5308432</vt:i4>
      </vt:variant>
      <vt:variant>
        <vt:i4>0</vt:i4>
      </vt:variant>
      <vt:variant>
        <vt:i4>0</vt:i4>
      </vt:variant>
      <vt:variant>
        <vt:i4>5</vt:i4>
      </vt:variant>
      <vt:variant>
        <vt:lpwstr>https://jgrs.eng.unila.ac.id/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Govinda</dc:creator>
  <cp:keywords/>
  <dc:description/>
  <cp:lastModifiedBy>I Gede Boy Darmawan</cp:lastModifiedBy>
  <cp:revision>57</cp:revision>
  <cp:lastPrinted>2020-05-08T09:54:00Z</cp:lastPrinted>
  <dcterms:created xsi:type="dcterms:W3CDTF">2023-07-31T03:25:00Z</dcterms:created>
  <dcterms:modified xsi:type="dcterms:W3CDTF">2023-07-31T05:16:00Z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http://csl.mendeley.com/styles/539266781/AER-number</vt:lpwstr>
  </property>
  <property fmtid="{D5CDD505-2E9C-101B-9397-08002B2CF9AE}" pid="3" name="Mendeley Recent Style Name 0_1">
    <vt:lpwstr>AER - I Gede Boy Darmawan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http://csl.mendeley.com/styles/539266781/apa-no-doi-no-issue</vt:lpwstr>
  </property>
  <property fmtid="{D5CDD505-2E9C-101B-9397-08002B2CF9AE}" pid="7" name="Mendeley Recent Style Name 2_1">
    <vt:lpwstr>American Psychological Association 6th edition (no DOIs, no issue numbers) - JGRS</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https://csl.mendeley.com/styles/539266781/EnvironmentAsia</vt:lpwstr>
  </property>
  <property fmtid="{D5CDD505-2E9C-101B-9397-08002B2CF9AE}" pid="11" name="Mendeley Recent Style Name 4_1">
    <vt:lpwstr>Environment Asia</vt:lpwstr>
  </property>
  <property fmtid="{D5CDD505-2E9C-101B-9397-08002B2CF9AE}" pid="12" name="Mendeley Recent Style Id 5_1">
    <vt:lpwstr>https://csl.mendeley.com/styles/539266781/ieee</vt:lpwstr>
  </property>
  <property fmtid="{D5CDD505-2E9C-101B-9397-08002B2CF9AE}" pid="13" name="Mendeley Recent Style Name 5_1">
    <vt:lpwstr>IEEE - AEJ</vt:lpwstr>
  </property>
  <property fmtid="{D5CDD505-2E9C-101B-9397-08002B2CF9AE}" pid="14" name="Mendeley Recent Style Id 6_1">
    <vt:lpwstr>https://csl.mendeley.com/styles/539266781/IEEE-AER</vt:lpwstr>
  </property>
  <property fmtid="{D5CDD505-2E9C-101B-9397-08002B2CF9AE}" pid="15" name="Mendeley Recent Style Name 6_1">
    <vt:lpwstr>IEEE - AER</vt:lpwstr>
  </property>
  <property fmtid="{D5CDD505-2E9C-101B-9397-08002B2CF9AE}" pid="16" name="Mendeley Recent Style Id 7_1">
    <vt:lpwstr>http://csl.mendeley.com/styles/539266781/sci-int2</vt:lpwstr>
  </property>
  <property fmtid="{D5CDD505-2E9C-101B-9397-08002B2CF9AE}" pid="17" name="Mendeley Recent Style Name 7_1">
    <vt:lpwstr>IEEE - I Gede Boy Darmawan</vt:lpwstr>
  </property>
  <property fmtid="{D5CDD505-2E9C-101B-9397-08002B2CF9AE}" pid="18" name="Mendeley Recent Style Id 8_1">
    <vt:lpwstr>http://csl.mendeley.com/styles/539266781/sci-int3</vt:lpwstr>
  </property>
  <property fmtid="{D5CDD505-2E9C-101B-9397-08002B2CF9AE}" pid="19" name="Mendeley Recent Style Name 8_1">
    <vt:lpwstr>IEEE - I Gede Boy Darmawan</vt:lpwstr>
  </property>
  <property fmtid="{D5CDD505-2E9C-101B-9397-08002B2CF9AE}" pid="20" name="Mendeley Recent Style Id 9_1">
    <vt:lpwstr>http://www.zotero.org/styles/ieee-access</vt:lpwstr>
  </property>
  <property fmtid="{D5CDD505-2E9C-101B-9397-08002B2CF9AE}" pid="21" name="Mendeley Recent Style Name 9_1">
    <vt:lpwstr>IEEE Access</vt:lpwstr>
  </property>
  <property fmtid="{D5CDD505-2E9C-101B-9397-08002B2CF9AE}" pid="22" name="Mendeley Document_1">
    <vt:lpwstr>True</vt:lpwstr>
  </property>
  <property fmtid="{D5CDD505-2E9C-101B-9397-08002B2CF9AE}" pid="23" name="Mendeley Unique User Id_1">
    <vt:lpwstr>b420a01b-f9b3-371d-b227-b714ac917cdf</vt:lpwstr>
  </property>
  <property fmtid="{D5CDD505-2E9C-101B-9397-08002B2CF9AE}" pid="24" name="Mendeley Citation Style_1">
    <vt:lpwstr>http://www.zotero.org/styles/apa</vt:lpwstr>
  </property>
</Properties>
</file>